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422" w:rsidRDefault="00262422" w:rsidP="003C47E2">
      <w:pPr>
        <w:spacing w:after="0" w:line="240" w:lineRule="auto"/>
        <w:ind w:left="0" w:firstLine="0"/>
        <w:jc w:val="center"/>
        <w:rPr>
          <w:b/>
          <w:color w:val="000000" w:themeColor="text1"/>
          <w:sz w:val="22"/>
          <w:lang w:val="es-ES_tradnl"/>
        </w:rPr>
      </w:pPr>
      <w:r w:rsidRPr="00405EC6">
        <w:rPr>
          <w:b/>
          <w:color w:val="000000" w:themeColor="text1"/>
          <w:sz w:val="22"/>
          <w:lang w:val="es-ES_tradnl"/>
        </w:rPr>
        <w:t>Formato para la difusión de los resultados de las evaluaciones del Consejo Nacional de Armonización Contable</w:t>
      </w:r>
    </w:p>
    <w:p w:rsidR="003C47E2" w:rsidRPr="00405EC6" w:rsidRDefault="003C47E2" w:rsidP="003C47E2">
      <w:pPr>
        <w:spacing w:after="0" w:line="240" w:lineRule="auto"/>
        <w:ind w:left="0" w:firstLine="0"/>
        <w:jc w:val="center"/>
        <w:rPr>
          <w:b/>
          <w:color w:val="000000" w:themeColor="text1"/>
          <w:lang w:val="es-ES_tradnl"/>
        </w:rPr>
      </w:pPr>
    </w:p>
    <w:tbl>
      <w:tblPr>
        <w:tblW w:w="5000" w:type="pct"/>
        <w:tblCellMar>
          <w:left w:w="70" w:type="dxa"/>
          <w:right w:w="70" w:type="dxa"/>
        </w:tblCellMar>
        <w:tblLook w:val="04A0" w:firstRow="1" w:lastRow="0" w:firstColumn="1" w:lastColumn="0" w:noHBand="0" w:noVBand="1"/>
      </w:tblPr>
      <w:tblGrid>
        <w:gridCol w:w="3324"/>
        <w:gridCol w:w="5787"/>
      </w:tblGrid>
      <w:tr w:rsidR="00262422" w:rsidRPr="005A04DA" w:rsidTr="004A59C3">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262422" w:rsidRPr="005A04DA" w:rsidRDefault="00262422" w:rsidP="00A30333">
            <w:pPr>
              <w:spacing w:after="0" w:line="240" w:lineRule="auto"/>
              <w:jc w:val="center"/>
              <w:rPr>
                <w:b/>
                <w:bCs/>
                <w:color w:val="000000" w:themeColor="text1"/>
                <w:sz w:val="22"/>
                <w:lang w:val="es-ES_tradnl"/>
              </w:rPr>
            </w:pPr>
            <w:r w:rsidRPr="0061770E">
              <w:rPr>
                <w:b/>
                <w:bCs/>
                <w:color w:val="FFFFFF" w:themeColor="background1"/>
                <w:sz w:val="22"/>
                <w:lang w:val="es-ES_tradnl"/>
              </w:rPr>
              <w:t>DESCRIPCIÓN DE LA EVALUACIÓN</w:t>
            </w:r>
          </w:p>
        </w:tc>
      </w:tr>
      <w:tr w:rsidR="00262422" w:rsidRPr="005A04DA" w:rsidTr="004A59C3">
        <w:trPr>
          <w:trHeight w:val="300"/>
        </w:trPr>
        <w:tc>
          <w:tcPr>
            <w:tcW w:w="5000" w:type="pct"/>
            <w:gridSpan w:val="2"/>
            <w:tcBorders>
              <w:top w:val="single" w:sz="4" w:space="0" w:color="auto"/>
              <w:left w:val="single" w:sz="4" w:space="0" w:color="auto"/>
              <w:bottom w:val="nil"/>
              <w:right w:val="single" w:sz="4" w:space="0" w:color="000000"/>
            </w:tcBorders>
            <w:shd w:val="clear" w:color="auto" w:fill="auto"/>
            <w:noWrap/>
            <w:vAlign w:val="bottom"/>
            <w:hideMark/>
          </w:tcPr>
          <w:p w:rsidR="00262422" w:rsidRPr="0061770E" w:rsidRDefault="00262422" w:rsidP="00262422">
            <w:pPr>
              <w:pStyle w:val="Prrafodelista"/>
              <w:numPr>
                <w:ilvl w:val="1"/>
                <w:numId w:val="1"/>
              </w:numPr>
              <w:spacing w:after="0" w:line="240" w:lineRule="auto"/>
              <w:jc w:val="left"/>
              <w:rPr>
                <w:b/>
                <w:bCs/>
                <w:color w:val="000000" w:themeColor="text1"/>
                <w:sz w:val="22"/>
                <w:lang w:val="es-ES_tradnl"/>
              </w:rPr>
            </w:pPr>
            <w:r w:rsidRPr="005A04DA">
              <w:rPr>
                <w:b/>
                <w:bCs/>
                <w:color w:val="000000" w:themeColor="text1"/>
                <w:sz w:val="22"/>
                <w:lang w:val="es-ES_tradnl"/>
              </w:rPr>
              <w:t>Nombre de la evaluación:</w:t>
            </w:r>
          </w:p>
          <w:p w:rsidR="00262422" w:rsidRPr="005A04DA" w:rsidRDefault="00262422" w:rsidP="00A30333">
            <w:pPr>
              <w:spacing w:after="0" w:line="240" w:lineRule="auto"/>
              <w:rPr>
                <w:color w:val="000000" w:themeColor="text1"/>
                <w:sz w:val="22"/>
                <w:lang w:val="es-ES_tradnl"/>
              </w:rPr>
            </w:pPr>
            <w:r w:rsidRPr="005A04DA">
              <w:rPr>
                <w:color w:val="000000" w:themeColor="text1"/>
                <w:sz w:val="22"/>
                <w:lang w:val="es-ES_tradnl"/>
              </w:rPr>
              <w:t>Evaluación estratégica a la Estrategia de Transparencia Gubernamental</w:t>
            </w:r>
          </w:p>
        </w:tc>
      </w:tr>
      <w:tr w:rsidR="00262422" w:rsidRPr="00405EC6" w:rsidTr="00A30333">
        <w:trPr>
          <w:trHeight w:val="300"/>
        </w:trPr>
        <w:tc>
          <w:tcPr>
            <w:tcW w:w="5000" w:type="pct"/>
            <w:gridSpan w:val="2"/>
            <w:tcBorders>
              <w:top w:val="single" w:sz="4" w:space="0" w:color="auto"/>
              <w:left w:val="single" w:sz="4" w:space="0" w:color="auto"/>
              <w:bottom w:val="nil"/>
              <w:right w:val="single" w:sz="4" w:space="0" w:color="000000"/>
            </w:tcBorders>
            <w:shd w:val="clear" w:color="auto" w:fill="auto"/>
            <w:noWrap/>
            <w:vAlign w:val="bottom"/>
            <w:hideMark/>
          </w:tcPr>
          <w:p w:rsidR="00262422" w:rsidRPr="00405EC6"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1.2 Fecha de inicio de la evaluación (</w:t>
            </w:r>
            <w:proofErr w:type="spellStart"/>
            <w:r w:rsidRPr="00405EC6">
              <w:rPr>
                <w:b/>
                <w:bCs/>
                <w:color w:val="000000" w:themeColor="text1"/>
                <w:sz w:val="22"/>
                <w:lang w:val="es-ES_tradnl"/>
              </w:rPr>
              <w:t>dd</w:t>
            </w:r>
            <w:proofErr w:type="spellEnd"/>
            <w:r w:rsidRPr="00405EC6">
              <w:rPr>
                <w:b/>
                <w:bCs/>
                <w:color w:val="000000" w:themeColor="text1"/>
                <w:sz w:val="22"/>
                <w:lang w:val="es-ES_tradnl"/>
              </w:rPr>
              <w:t>/mm/</w:t>
            </w:r>
            <w:proofErr w:type="spellStart"/>
            <w:r w:rsidRPr="00405EC6">
              <w:rPr>
                <w:b/>
                <w:bCs/>
                <w:color w:val="000000" w:themeColor="text1"/>
                <w:sz w:val="22"/>
                <w:lang w:val="es-ES_tradnl"/>
              </w:rPr>
              <w:t>aaaa</w:t>
            </w:r>
            <w:proofErr w:type="spellEnd"/>
            <w:r w:rsidRPr="00405EC6">
              <w:rPr>
                <w:b/>
                <w:bCs/>
                <w:color w:val="000000" w:themeColor="text1"/>
                <w:sz w:val="22"/>
                <w:lang w:val="es-ES_tradnl"/>
              </w:rPr>
              <w:t>):</w:t>
            </w:r>
          </w:p>
        </w:tc>
      </w:tr>
      <w:tr w:rsidR="00262422" w:rsidRPr="00405EC6" w:rsidTr="00A30333">
        <w:trPr>
          <w:trHeight w:val="285"/>
        </w:trPr>
        <w:tc>
          <w:tcPr>
            <w:tcW w:w="5000" w:type="pct"/>
            <w:gridSpan w:val="2"/>
            <w:tcBorders>
              <w:top w:val="nil"/>
              <w:left w:val="single" w:sz="4" w:space="0" w:color="auto"/>
              <w:bottom w:val="single" w:sz="4" w:space="0" w:color="auto"/>
              <w:right w:val="single" w:sz="4" w:space="0" w:color="000000"/>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7 de septiembre de 2022</w:t>
            </w:r>
          </w:p>
        </w:tc>
      </w:tr>
      <w:tr w:rsidR="00262422" w:rsidRPr="00405EC6" w:rsidTr="00A30333">
        <w:trPr>
          <w:trHeight w:val="285"/>
        </w:trPr>
        <w:tc>
          <w:tcPr>
            <w:tcW w:w="5000" w:type="pct"/>
            <w:gridSpan w:val="2"/>
            <w:tcBorders>
              <w:top w:val="single" w:sz="4" w:space="0" w:color="auto"/>
              <w:left w:val="single" w:sz="4" w:space="0" w:color="auto"/>
              <w:bottom w:val="nil"/>
              <w:right w:val="single" w:sz="4" w:space="0" w:color="000000"/>
            </w:tcBorders>
            <w:shd w:val="clear" w:color="auto" w:fill="auto"/>
            <w:noWrap/>
            <w:vAlign w:val="bottom"/>
            <w:hideMark/>
          </w:tcPr>
          <w:p w:rsidR="00262422" w:rsidRPr="00405EC6"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1.3 Fecha de término de la evaluación (</w:t>
            </w:r>
            <w:proofErr w:type="spellStart"/>
            <w:r w:rsidRPr="00405EC6">
              <w:rPr>
                <w:b/>
                <w:bCs/>
                <w:color w:val="000000" w:themeColor="text1"/>
                <w:sz w:val="22"/>
                <w:lang w:val="es-ES_tradnl"/>
              </w:rPr>
              <w:t>dd</w:t>
            </w:r>
            <w:proofErr w:type="spellEnd"/>
            <w:r w:rsidRPr="00405EC6">
              <w:rPr>
                <w:b/>
                <w:bCs/>
                <w:color w:val="000000" w:themeColor="text1"/>
                <w:sz w:val="22"/>
                <w:lang w:val="es-ES_tradnl"/>
              </w:rPr>
              <w:t>/mm/</w:t>
            </w:r>
            <w:proofErr w:type="spellStart"/>
            <w:r w:rsidRPr="00405EC6">
              <w:rPr>
                <w:b/>
                <w:bCs/>
                <w:color w:val="000000" w:themeColor="text1"/>
                <w:sz w:val="22"/>
                <w:lang w:val="es-ES_tradnl"/>
              </w:rPr>
              <w:t>aaaa</w:t>
            </w:r>
            <w:proofErr w:type="spellEnd"/>
            <w:r w:rsidRPr="00405EC6">
              <w:rPr>
                <w:b/>
                <w:bCs/>
                <w:color w:val="000000" w:themeColor="text1"/>
                <w:sz w:val="22"/>
                <w:lang w:val="es-ES_tradnl"/>
              </w:rPr>
              <w:t>):</w:t>
            </w:r>
          </w:p>
        </w:tc>
      </w:tr>
      <w:tr w:rsidR="00262422" w:rsidRPr="00405EC6" w:rsidTr="00A30333">
        <w:trPr>
          <w:trHeight w:val="285"/>
        </w:trPr>
        <w:tc>
          <w:tcPr>
            <w:tcW w:w="5000" w:type="pct"/>
            <w:gridSpan w:val="2"/>
            <w:tcBorders>
              <w:top w:val="nil"/>
              <w:left w:val="single" w:sz="4" w:space="0" w:color="auto"/>
              <w:bottom w:val="single" w:sz="4" w:space="0" w:color="auto"/>
              <w:right w:val="single" w:sz="4" w:space="0" w:color="000000"/>
            </w:tcBorders>
            <w:shd w:val="clear" w:color="auto" w:fill="auto"/>
            <w:noWrap/>
            <w:vAlign w:val="bottom"/>
            <w:hideMark/>
          </w:tcPr>
          <w:p w:rsidR="00262422" w:rsidRPr="00405EC6" w:rsidRDefault="00262422" w:rsidP="00CF6E7F">
            <w:pPr>
              <w:spacing w:after="0" w:line="240" w:lineRule="auto"/>
              <w:rPr>
                <w:color w:val="000000" w:themeColor="text1"/>
                <w:sz w:val="22"/>
                <w:lang w:val="es-ES_tradnl"/>
              </w:rPr>
            </w:pPr>
            <w:r w:rsidRPr="00405EC6">
              <w:rPr>
                <w:color w:val="000000" w:themeColor="text1"/>
                <w:sz w:val="22"/>
                <w:lang w:val="es-ES_tradnl"/>
              </w:rPr>
              <w:t>2</w:t>
            </w:r>
            <w:r w:rsidR="00CF6E7F">
              <w:rPr>
                <w:color w:val="000000" w:themeColor="text1"/>
                <w:sz w:val="22"/>
                <w:lang w:val="es-ES_tradnl"/>
              </w:rPr>
              <w:t>0</w:t>
            </w:r>
            <w:r w:rsidRPr="00405EC6">
              <w:rPr>
                <w:color w:val="000000" w:themeColor="text1"/>
                <w:sz w:val="22"/>
                <w:lang w:val="es-ES_tradnl"/>
              </w:rPr>
              <w:t xml:space="preserve"> de octubre de 2022 </w:t>
            </w:r>
          </w:p>
        </w:tc>
      </w:tr>
      <w:tr w:rsidR="00262422" w:rsidRPr="00405EC6" w:rsidTr="00A30333">
        <w:trPr>
          <w:trHeight w:val="585"/>
        </w:trPr>
        <w:tc>
          <w:tcPr>
            <w:tcW w:w="5000" w:type="pct"/>
            <w:gridSpan w:val="2"/>
            <w:tcBorders>
              <w:top w:val="single" w:sz="4" w:space="0" w:color="auto"/>
              <w:left w:val="single" w:sz="4" w:space="0" w:color="auto"/>
              <w:bottom w:val="nil"/>
              <w:right w:val="single" w:sz="4" w:space="0" w:color="000000"/>
            </w:tcBorders>
            <w:shd w:val="clear" w:color="auto" w:fill="auto"/>
            <w:hideMark/>
          </w:tcPr>
          <w:p w:rsidR="00262422" w:rsidRPr="00405EC6"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1.4 Nombre de la persona responsable de darle seguimiento a la evaluación y nombre de la unidad administrativa a la que pertenece</w:t>
            </w:r>
          </w:p>
        </w:tc>
      </w:tr>
      <w:tr w:rsidR="00262422" w:rsidRPr="00405EC6" w:rsidTr="00A30333">
        <w:trPr>
          <w:trHeight w:val="300"/>
        </w:trPr>
        <w:tc>
          <w:tcPr>
            <w:tcW w:w="1819" w:type="pct"/>
            <w:tcBorders>
              <w:top w:val="single" w:sz="4" w:space="0" w:color="auto"/>
              <w:left w:val="single" w:sz="4" w:space="0" w:color="auto"/>
              <w:bottom w:val="nil"/>
              <w:right w:val="nil"/>
            </w:tcBorders>
            <w:shd w:val="clear" w:color="auto" w:fill="auto"/>
            <w:noWrap/>
            <w:vAlign w:val="bottom"/>
            <w:hideMark/>
          </w:tcPr>
          <w:p w:rsidR="00262422" w:rsidRPr="00405EC6"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Nombre:</w:t>
            </w:r>
          </w:p>
        </w:tc>
        <w:tc>
          <w:tcPr>
            <w:tcW w:w="3181" w:type="pct"/>
            <w:tcBorders>
              <w:top w:val="single" w:sz="4" w:space="0" w:color="auto"/>
              <w:left w:val="single" w:sz="4" w:space="0" w:color="auto"/>
              <w:bottom w:val="nil"/>
              <w:right w:val="single" w:sz="4" w:space="0" w:color="auto"/>
            </w:tcBorders>
            <w:shd w:val="clear" w:color="auto" w:fill="auto"/>
            <w:noWrap/>
            <w:vAlign w:val="bottom"/>
            <w:hideMark/>
          </w:tcPr>
          <w:p w:rsidR="00262422" w:rsidRPr="00405EC6"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Unidad administrativa:</w:t>
            </w:r>
          </w:p>
        </w:tc>
      </w:tr>
      <w:tr w:rsidR="00262422" w:rsidRPr="00405EC6" w:rsidTr="00A30333">
        <w:trPr>
          <w:trHeight w:val="285"/>
        </w:trPr>
        <w:tc>
          <w:tcPr>
            <w:tcW w:w="1819" w:type="pct"/>
            <w:tcBorders>
              <w:top w:val="nil"/>
              <w:left w:val="single" w:sz="4" w:space="0" w:color="auto"/>
              <w:bottom w:val="single" w:sz="4" w:space="0" w:color="auto"/>
              <w:right w:val="nil"/>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Mtro. Gonzalo Lapuente Sastre</w:t>
            </w:r>
          </w:p>
        </w:tc>
        <w:tc>
          <w:tcPr>
            <w:tcW w:w="3181" w:type="pct"/>
            <w:tcBorders>
              <w:top w:val="nil"/>
              <w:left w:val="single" w:sz="4" w:space="0" w:color="auto"/>
              <w:bottom w:val="single" w:sz="4" w:space="0" w:color="auto"/>
              <w:right w:val="single" w:sz="4" w:space="0" w:color="auto"/>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Dirección General de la Instancia Técnica de Evaluación</w:t>
            </w:r>
          </w:p>
        </w:tc>
      </w:tr>
      <w:tr w:rsidR="00262422" w:rsidRPr="00405EC6" w:rsidTr="00A30333">
        <w:trPr>
          <w:trHeight w:val="300"/>
        </w:trPr>
        <w:tc>
          <w:tcPr>
            <w:tcW w:w="5000" w:type="pct"/>
            <w:gridSpan w:val="2"/>
            <w:tcBorders>
              <w:top w:val="single" w:sz="4" w:space="0" w:color="auto"/>
              <w:left w:val="single" w:sz="4" w:space="0" w:color="auto"/>
              <w:bottom w:val="nil"/>
              <w:right w:val="single" w:sz="4" w:space="0" w:color="000000"/>
            </w:tcBorders>
            <w:shd w:val="clear" w:color="auto" w:fill="auto"/>
            <w:noWrap/>
            <w:vAlign w:val="bottom"/>
            <w:hideMark/>
          </w:tcPr>
          <w:p w:rsidR="00262422" w:rsidRPr="00405EC6"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1.5 Objetivo general de la evaluación:</w:t>
            </w:r>
          </w:p>
        </w:tc>
      </w:tr>
      <w:tr w:rsidR="00262422" w:rsidRPr="00405EC6" w:rsidTr="00A30333">
        <w:trPr>
          <w:trHeight w:val="1090"/>
        </w:trPr>
        <w:tc>
          <w:tcPr>
            <w:tcW w:w="5000" w:type="pct"/>
            <w:gridSpan w:val="2"/>
            <w:tcBorders>
              <w:top w:val="nil"/>
              <w:left w:val="single" w:sz="4" w:space="0" w:color="auto"/>
              <w:bottom w:val="single" w:sz="4" w:space="0" w:color="auto"/>
              <w:right w:val="single" w:sz="4" w:space="0" w:color="000000"/>
            </w:tcBorders>
            <w:shd w:val="clear" w:color="auto" w:fill="auto"/>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Evaluar la congruencia y pertinencia de la Estrategia de Transparencia Gubernamental en términos de su orientación a resultados, identificando las fortalezas y áreas de oportunidad que permitan emitir recomendaciones de política pública que contribuyan a su consolidación</w:t>
            </w:r>
          </w:p>
        </w:tc>
      </w:tr>
      <w:tr w:rsidR="00262422" w:rsidRPr="00405EC6" w:rsidTr="00A30333">
        <w:trPr>
          <w:trHeight w:val="300"/>
        </w:trPr>
        <w:tc>
          <w:tcPr>
            <w:tcW w:w="5000" w:type="pct"/>
            <w:gridSpan w:val="2"/>
            <w:tcBorders>
              <w:top w:val="single" w:sz="4" w:space="0" w:color="auto"/>
              <w:left w:val="single" w:sz="4" w:space="0" w:color="auto"/>
              <w:bottom w:val="nil"/>
              <w:right w:val="single" w:sz="4" w:space="0" w:color="000000"/>
            </w:tcBorders>
            <w:shd w:val="clear" w:color="auto" w:fill="auto"/>
            <w:noWrap/>
            <w:vAlign w:val="bottom"/>
            <w:hideMark/>
          </w:tcPr>
          <w:p w:rsidR="00262422"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1.6 Objetivo específico de la evaluación:</w:t>
            </w:r>
          </w:p>
          <w:p w:rsidR="00CF6E7F" w:rsidRPr="00405EC6" w:rsidRDefault="00CF6E7F" w:rsidP="00A30333">
            <w:pPr>
              <w:spacing w:after="0" w:line="240" w:lineRule="auto"/>
              <w:rPr>
                <w:b/>
                <w:bCs/>
                <w:color w:val="000000" w:themeColor="text1"/>
                <w:sz w:val="22"/>
                <w:lang w:val="es-ES_tradnl"/>
              </w:rPr>
            </w:pPr>
          </w:p>
        </w:tc>
      </w:tr>
      <w:tr w:rsidR="00262422" w:rsidRPr="00405EC6" w:rsidTr="00A30333">
        <w:trPr>
          <w:trHeight w:val="2430"/>
        </w:trPr>
        <w:tc>
          <w:tcPr>
            <w:tcW w:w="5000" w:type="pct"/>
            <w:gridSpan w:val="2"/>
            <w:tcBorders>
              <w:top w:val="nil"/>
              <w:left w:val="single" w:sz="4" w:space="0" w:color="auto"/>
              <w:bottom w:val="single" w:sz="4" w:space="0" w:color="auto"/>
              <w:right w:val="single" w:sz="4" w:space="0" w:color="000000"/>
            </w:tcBorders>
            <w:shd w:val="clear" w:color="auto" w:fill="auto"/>
            <w:vAlign w:val="center"/>
            <w:hideMark/>
          </w:tcPr>
          <w:p w:rsidR="00262422" w:rsidRPr="00405EC6" w:rsidRDefault="00262422" w:rsidP="00CF6E7F">
            <w:pPr>
              <w:pStyle w:val="Prrafodelista"/>
              <w:numPr>
                <w:ilvl w:val="0"/>
                <w:numId w:val="7"/>
              </w:numPr>
              <w:spacing w:after="0" w:line="240" w:lineRule="auto"/>
              <w:rPr>
                <w:color w:val="000000" w:themeColor="text1"/>
                <w:sz w:val="22"/>
                <w:lang w:val="es-ES_tradnl"/>
              </w:rPr>
            </w:pPr>
            <w:r w:rsidRPr="00405EC6">
              <w:rPr>
                <w:color w:val="000000" w:themeColor="text1"/>
                <w:sz w:val="22"/>
                <w:lang w:val="es-ES_tradnl"/>
              </w:rPr>
              <w:t>Determinar la consistencia de la Estrategia de Transparencia Gubernamental a partir de su diseño, atención a la problemática que la origina y la consecución de los objetivos establecidos.</w:t>
            </w:r>
          </w:p>
          <w:p w:rsidR="00262422" w:rsidRPr="00405EC6" w:rsidRDefault="00262422" w:rsidP="00CF6E7F">
            <w:pPr>
              <w:pStyle w:val="Prrafodelista"/>
              <w:numPr>
                <w:ilvl w:val="0"/>
                <w:numId w:val="7"/>
              </w:numPr>
              <w:spacing w:after="0" w:line="240" w:lineRule="auto"/>
              <w:rPr>
                <w:color w:val="000000" w:themeColor="text1"/>
                <w:sz w:val="22"/>
                <w:lang w:val="es-ES_tradnl"/>
              </w:rPr>
            </w:pPr>
            <w:r w:rsidRPr="00405EC6">
              <w:rPr>
                <w:color w:val="000000" w:themeColor="text1"/>
                <w:sz w:val="22"/>
                <w:lang w:val="es-ES_tradnl"/>
              </w:rPr>
              <w:t>Establecer en qué medida el diseño de la Estrategia de Transparencia Gubernamental cumple con los instrumentos normativos y está alineado con los instrumentos de planeación,</w:t>
            </w:r>
          </w:p>
          <w:p w:rsidR="00262422" w:rsidRPr="00405EC6" w:rsidRDefault="00262422" w:rsidP="00CF6E7F">
            <w:pPr>
              <w:pStyle w:val="Prrafodelista"/>
              <w:numPr>
                <w:ilvl w:val="0"/>
                <w:numId w:val="7"/>
              </w:numPr>
              <w:spacing w:after="0" w:line="240" w:lineRule="auto"/>
              <w:rPr>
                <w:color w:val="000000" w:themeColor="text1"/>
                <w:sz w:val="22"/>
                <w:lang w:val="es-ES_tradnl"/>
              </w:rPr>
            </w:pPr>
            <w:r w:rsidRPr="00405EC6">
              <w:rPr>
                <w:color w:val="000000" w:themeColor="text1"/>
                <w:sz w:val="22"/>
                <w:lang w:val="es-ES_tradnl"/>
              </w:rPr>
              <w:t xml:space="preserve">Establecer el grado de cumplimiento de los objetivos de la Estrategia de Transparencia Gubernamental con base en el desempeño de indicadores. </w:t>
            </w:r>
          </w:p>
          <w:p w:rsidR="00262422" w:rsidRDefault="00262422" w:rsidP="00CF6E7F">
            <w:pPr>
              <w:pStyle w:val="Prrafodelista"/>
              <w:numPr>
                <w:ilvl w:val="0"/>
                <w:numId w:val="7"/>
              </w:numPr>
              <w:spacing w:after="0" w:line="240" w:lineRule="auto"/>
              <w:rPr>
                <w:color w:val="000000" w:themeColor="text1"/>
                <w:sz w:val="22"/>
                <w:lang w:val="es-ES_tradnl"/>
              </w:rPr>
            </w:pPr>
            <w:r w:rsidRPr="00405EC6">
              <w:rPr>
                <w:color w:val="000000" w:themeColor="text1"/>
                <w:sz w:val="22"/>
                <w:lang w:val="es-ES_tradnl"/>
              </w:rPr>
              <w:t>Analizar la incidencia de la Estrategia de Transparencia Gubernamental en otras intervenciones públicas y/o sectores.</w:t>
            </w:r>
          </w:p>
          <w:p w:rsidR="00CF6E7F" w:rsidRPr="0061770E" w:rsidRDefault="00CF6E7F" w:rsidP="00CF6E7F">
            <w:pPr>
              <w:pStyle w:val="Prrafodelista"/>
              <w:spacing w:after="0" w:line="240" w:lineRule="auto"/>
              <w:ind w:firstLine="0"/>
              <w:rPr>
                <w:color w:val="000000" w:themeColor="text1"/>
                <w:sz w:val="22"/>
                <w:lang w:val="es-ES_tradnl"/>
              </w:rPr>
            </w:pPr>
          </w:p>
        </w:tc>
      </w:tr>
      <w:tr w:rsidR="00262422" w:rsidRPr="00405EC6" w:rsidTr="00A30333">
        <w:trPr>
          <w:trHeight w:val="285"/>
        </w:trPr>
        <w:tc>
          <w:tcPr>
            <w:tcW w:w="5000" w:type="pct"/>
            <w:gridSpan w:val="2"/>
            <w:tcBorders>
              <w:top w:val="single" w:sz="4" w:space="0" w:color="auto"/>
              <w:left w:val="single" w:sz="4" w:space="0" w:color="auto"/>
              <w:bottom w:val="nil"/>
              <w:right w:val="single" w:sz="4" w:space="0" w:color="000000"/>
            </w:tcBorders>
            <w:shd w:val="clear" w:color="auto" w:fill="auto"/>
            <w:noWrap/>
            <w:vAlign w:val="center"/>
            <w:hideMark/>
          </w:tcPr>
          <w:p w:rsidR="00262422"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1.7 Metodología utilizada en la evaluación:</w:t>
            </w:r>
          </w:p>
          <w:p w:rsidR="00CF6E7F" w:rsidRPr="00405EC6" w:rsidRDefault="00CF6E7F" w:rsidP="00A30333">
            <w:pPr>
              <w:spacing w:after="0" w:line="240" w:lineRule="auto"/>
              <w:rPr>
                <w:b/>
                <w:bCs/>
                <w:color w:val="000000" w:themeColor="text1"/>
                <w:sz w:val="22"/>
                <w:lang w:val="es-ES_tradnl"/>
              </w:rPr>
            </w:pPr>
          </w:p>
        </w:tc>
      </w:tr>
      <w:tr w:rsidR="00262422" w:rsidRPr="00405EC6" w:rsidTr="00A30333">
        <w:trPr>
          <w:trHeight w:val="1620"/>
        </w:trPr>
        <w:tc>
          <w:tcPr>
            <w:tcW w:w="5000" w:type="pct"/>
            <w:gridSpan w:val="2"/>
            <w:tcBorders>
              <w:top w:val="nil"/>
              <w:left w:val="single" w:sz="4" w:space="0" w:color="auto"/>
              <w:bottom w:val="single" w:sz="4" w:space="0" w:color="auto"/>
              <w:right w:val="single" w:sz="4" w:space="0" w:color="000000"/>
            </w:tcBorders>
            <w:shd w:val="clear" w:color="auto" w:fill="auto"/>
            <w:vAlign w:val="center"/>
            <w:hideMark/>
          </w:tcPr>
          <w:p w:rsidR="00E17071" w:rsidRDefault="00262422" w:rsidP="00A30333">
            <w:pPr>
              <w:spacing w:after="0" w:line="240" w:lineRule="auto"/>
              <w:rPr>
                <w:color w:val="000000" w:themeColor="text1"/>
                <w:sz w:val="22"/>
                <w:lang w:val="es-ES_tradnl"/>
              </w:rPr>
            </w:pPr>
            <w:r w:rsidRPr="00405EC6">
              <w:rPr>
                <w:color w:val="000000" w:themeColor="text1"/>
                <w:sz w:val="22"/>
                <w:lang w:val="es-ES_tradnl"/>
              </w:rPr>
              <w:t>El instrumento utilizado para realizar la evaluación se basa en el contenido de los Términos de Referencia (</w:t>
            </w:r>
            <w:proofErr w:type="spellStart"/>
            <w:r w:rsidRPr="00405EC6">
              <w:rPr>
                <w:color w:val="000000" w:themeColor="text1"/>
                <w:sz w:val="22"/>
                <w:lang w:val="es-ES_tradnl"/>
              </w:rPr>
              <w:t>TdR</w:t>
            </w:r>
            <w:proofErr w:type="spellEnd"/>
            <w:r w:rsidRPr="00405EC6">
              <w:rPr>
                <w:color w:val="000000" w:themeColor="text1"/>
                <w:sz w:val="22"/>
                <w:lang w:val="es-ES_tradnl"/>
              </w:rPr>
              <w:t xml:space="preserve">) para la Evaluación Estratégica a la Estrategia de Transparencia Gubernamental. </w:t>
            </w:r>
          </w:p>
          <w:p w:rsidR="00262422"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El enfoque de evaluación es cualitativo y se basa en técnicas de investigación de análisis documental a partir de la bitácora digital proporcionada por la Instancia Técnica de Evaluación y búsqueda de documentos en páginas oficiales; trabajo de campo, a partir de entrevistas </w:t>
            </w:r>
            <w:proofErr w:type="spellStart"/>
            <w:r w:rsidRPr="00405EC6">
              <w:rPr>
                <w:color w:val="000000" w:themeColor="text1"/>
                <w:sz w:val="22"/>
                <w:lang w:val="es-ES_tradnl"/>
              </w:rPr>
              <w:t>semiestructuradas</w:t>
            </w:r>
            <w:proofErr w:type="spellEnd"/>
            <w:r w:rsidRPr="00405EC6">
              <w:rPr>
                <w:color w:val="000000" w:themeColor="text1"/>
                <w:sz w:val="22"/>
                <w:lang w:val="es-ES_tradnl"/>
              </w:rPr>
              <w:t xml:space="preserve"> y análisis estadístico.</w:t>
            </w:r>
          </w:p>
          <w:p w:rsidR="00E17071" w:rsidRDefault="00E17071" w:rsidP="003D6687">
            <w:pPr>
              <w:spacing w:after="0" w:line="240" w:lineRule="auto"/>
              <w:rPr>
                <w:color w:val="000000" w:themeColor="text1"/>
                <w:sz w:val="22"/>
                <w:lang w:val="es-ES_tradnl"/>
              </w:rPr>
            </w:pPr>
            <w:r w:rsidRPr="00E17071">
              <w:rPr>
                <w:color w:val="000000" w:themeColor="text1"/>
                <w:sz w:val="22"/>
                <w:lang w:val="es-ES_tradnl"/>
              </w:rPr>
              <w:t xml:space="preserve">Para valorar la ETG se definen un conjunto de criterios a partir de un </w:t>
            </w:r>
            <w:r w:rsidR="003D6687">
              <w:rPr>
                <w:color w:val="000000" w:themeColor="text1"/>
                <w:sz w:val="22"/>
                <w:lang w:val="es-ES_tradnl"/>
              </w:rPr>
              <w:t xml:space="preserve">enfoque teórico: el enfoque </w:t>
            </w:r>
            <w:r w:rsidRPr="00E17071">
              <w:rPr>
                <w:color w:val="000000" w:themeColor="text1"/>
                <w:sz w:val="22"/>
                <w:lang w:val="es-ES_tradnl"/>
              </w:rPr>
              <w:t>de resultados.</w:t>
            </w:r>
          </w:p>
          <w:p w:rsidR="00CF6E7F" w:rsidRPr="00405EC6" w:rsidRDefault="00CF6E7F" w:rsidP="00A30333">
            <w:pPr>
              <w:spacing w:after="0" w:line="240" w:lineRule="auto"/>
              <w:rPr>
                <w:color w:val="000000" w:themeColor="text1"/>
                <w:sz w:val="22"/>
                <w:lang w:val="es-ES_tradnl"/>
              </w:rPr>
            </w:pPr>
          </w:p>
        </w:tc>
      </w:tr>
      <w:tr w:rsidR="00262422" w:rsidRPr="00405EC6" w:rsidTr="00A30333">
        <w:trPr>
          <w:trHeight w:val="285"/>
        </w:trPr>
        <w:tc>
          <w:tcPr>
            <w:tcW w:w="5000" w:type="pct"/>
            <w:gridSpan w:val="2"/>
            <w:tcBorders>
              <w:top w:val="single" w:sz="4" w:space="0" w:color="auto"/>
              <w:left w:val="single" w:sz="4" w:space="0" w:color="auto"/>
              <w:bottom w:val="nil"/>
              <w:right w:val="single" w:sz="4" w:space="0" w:color="000000"/>
            </w:tcBorders>
            <w:shd w:val="clear" w:color="auto" w:fill="auto"/>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Instrumento de recolección de información:</w:t>
            </w:r>
          </w:p>
        </w:tc>
      </w:tr>
      <w:tr w:rsidR="00262422" w:rsidRPr="00405EC6" w:rsidTr="00A30333">
        <w:trPr>
          <w:trHeight w:val="285"/>
        </w:trPr>
        <w:tc>
          <w:tcPr>
            <w:tcW w:w="5000" w:type="pct"/>
            <w:gridSpan w:val="2"/>
            <w:tcBorders>
              <w:top w:val="nil"/>
              <w:left w:val="single" w:sz="4" w:space="0" w:color="auto"/>
              <w:bottom w:val="single" w:sz="4" w:space="0" w:color="auto"/>
              <w:right w:val="single" w:sz="4" w:space="0" w:color="000000"/>
            </w:tcBorders>
            <w:shd w:val="clear" w:color="auto" w:fill="auto"/>
            <w:noWrap/>
            <w:vAlign w:val="center"/>
            <w:hideMark/>
          </w:tcPr>
          <w:p w:rsidR="00262422"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Cuestionario___  </w:t>
            </w:r>
            <w:proofErr w:type="spellStart"/>
            <w:r w:rsidRPr="00405EC6">
              <w:rPr>
                <w:color w:val="000000" w:themeColor="text1"/>
                <w:sz w:val="22"/>
                <w:lang w:val="es-ES_tradnl"/>
              </w:rPr>
              <w:t>Entrevistas_X</w:t>
            </w:r>
            <w:proofErr w:type="spellEnd"/>
            <w:r w:rsidRPr="00405EC6">
              <w:rPr>
                <w:color w:val="000000" w:themeColor="text1"/>
                <w:sz w:val="22"/>
                <w:lang w:val="es-ES_tradnl"/>
              </w:rPr>
              <w:t xml:space="preserve">__  Formatos___ </w:t>
            </w:r>
            <w:proofErr w:type="spellStart"/>
            <w:r w:rsidRPr="00405EC6">
              <w:rPr>
                <w:color w:val="000000" w:themeColor="text1"/>
                <w:sz w:val="22"/>
                <w:lang w:val="es-ES_tradnl"/>
              </w:rPr>
              <w:t>Otros_</w:t>
            </w:r>
            <w:r w:rsidRPr="00405EC6">
              <w:rPr>
                <w:color w:val="000000" w:themeColor="text1"/>
                <w:sz w:val="22"/>
                <w:u w:val="single"/>
                <w:lang w:val="es-ES_tradnl"/>
              </w:rPr>
              <w:t>X</w:t>
            </w:r>
            <w:proofErr w:type="spellEnd"/>
            <w:r w:rsidRPr="00405EC6">
              <w:rPr>
                <w:color w:val="000000" w:themeColor="text1"/>
                <w:sz w:val="22"/>
                <w:lang w:val="es-ES_tradnl"/>
              </w:rPr>
              <w:t>_ Especifique: Bitácora digital y búsqueda en páginas oficiales</w:t>
            </w:r>
          </w:p>
          <w:p w:rsidR="00AF23BC" w:rsidRPr="00405EC6" w:rsidRDefault="00AF23BC" w:rsidP="00A30333">
            <w:pPr>
              <w:spacing w:after="0" w:line="240" w:lineRule="auto"/>
              <w:rPr>
                <w:color w:val="000000" w:themeColor="text1"/>
                <w:sz w:val="22"/>
                <w:lang w:val="es-ES_tradnl"/>
              </w:rPr>
            </w:pPr>
          </w:p>
        </w:tc>
      </w:tr>
      <w:tr w:rsidR="00262422" w:rsidRPr="00405EC6" w:rsidTr="00A30333">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62422" w:rsidRPr="00E17071" w:rsidRDefault="00262422" w:rsidP="00A30333">
            <w:pPr>
              <w:spacing w:after="0" w:line="240" w:lineRule="auto"/>
              <w:rPr>
                <w:b/>
                <w:color w:val="000000" w:themeColor="text1"/>
                <w:sz w:val="22"/>
                <w:lang w:val="es-ES_tradnl"/>
              </w:rPr>
            </w:pPr>
            <w:r w:rsidRPr="00E17071">
              <w:rPr>
                <w:b/>
                <w:color w:val="000000" w:themeColor="text1"/>
                <w:sz w:val="22"/>
                <w:lang w:val="es-ES_tradnl"/>
              </w:rPr>
              <w:lastRenderedPageBreak/>
              <w:t>Descripción de las técnicas y modelos utilizados:</w:t>
            </w:r>
          </w:p>
        </w:tc>
      </w:tr>
      <w:tr w:rsidR="00262422" w:rsidRPr="00405EC6" w:rsidTr="003D6687">
        <w:trPr>
          <w:trHeight w:val="2243"/>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E17071" w:rsidRPr="00405EC6" w:rsidRDefault="00262422" w:rsidP="00E17071">
            <w:pPr>
              <w:spacing w:after="0" w:line="240" w:lineRule="auto"/>
              <w:rPr>
                <w:color w:val="000000" w:themeColor="text1"/>
                <w:sz w:val="22"/>
                <w:lang w:val="es-ES_tradnl"/>
              </w:rPr>
            </w:pPr>
            <w:r w:rsidRPr="00405EC6">
              <w:rPr>
                <w:color w:val="000000" w:themeColor="text1"/>
                <w:sz w:val="22"/>
                <w:lang w:val="es-ES_tradnl"/>
              </w:rPr>
              <w:t>Se determinó utilizar el análisis de gabinete para la información proporcionada por la Instanc</w:t>
            </w:r>
            <w:r w:rsidR="00E17071">
              <w:rPr>
                <w:color w:val="000000" w:themeColor="text1"/>
                <w:sz w:val="22"/>
                <w:lang w:val="es-ES_tradnl"/>
              </w:rPr>
              <w:t>ia Técnica de Evaluación (ITE); y c</w:t>
            </w:r>
            <w:r w:rsidR="00E17071" w:rsidRPr="00405EC6">
              <w:rPr>
                <w:color w:val="000000" w:themeColor="text1"/>
                <w:sz w:val="22"/>
                <w:lang w:val="es-ES_tradnl"/>
              </w:rPr>
              <w:t xml:space="preserve">on el propósito de complementar los hallazgos encontrados se realiza también trabajo de campo. </w:t>
            </w:r>
          </w:p>
          <w:p w:rsidR="00262422" w:rsidRDefault="00E17071" w:rsidP="00A30333">
            <w:pPr>
              <w:spacing w:after="0" w:line="240" w:lineRule="auto"/>
              <w:rPr>
                <w:color w:val="000000" w:themeColor="text1"/>
                <w:sz w:val="22"/>
                <w:lang w:val="es-ES_tradnl"/>
              </w:rPr>
            </w:pPr>
            <w:r w:rsidRPr="00405EC6">
              <w:rPr>
                <w:color w:val="000000" w:themeColor="text1"/>
                <w:sz w:val="22"/>
                <w:lang w:val="es-ES_tradnl"/>
              </w:rPr>
              <w:t>La evaluación estratégica se divide en cuatro temas rectores, que se analizan en un conjunto de 17 pregunta</w:t>
            </w:r>
            <w:r>
              <w:rPr>
                <w:color w:val="000000" w:themeColor="text1"/>
                <w:sz w:val="22"/>
                <w:lang w:val="es-ES_tradnl"/>
              </w:rPr>
              <w:t>s. Los temas son: Diseño de la e</w:t>
            </w:r>
            <w:r w:rsidRPr="00405EC6">
              <w:rPr>
                <w:color w:val="000000" w:themeColor="text1"/>
                <w:sz w:val="22"/>
                <w:lang w:val="es-ES_tradnl"/>
              </w:rPr>
              <w:t>strategia; Aline</w:t>
            </w:r>
            <w:r>
              <w:rPr>
                <w:color w:val="000000" w:themeColor="text1"/>
                <w:sz w:val="22"/>
                <w:lang w:val="es-ES_tradnl"/>
              </w:rPr>
              <w:t>ación de la estrategia, Desempeño de la estrategia e Incidencia de la e</w:t>
            </w:r>
            <w:r w:rsidRPr="00405EC6">
              <w:rPr>
                <w:color w:val="000000" w:themeColor="text1"/>
                <w:sz w:val="22"/>
                <w:lang w:val="es-ES_tradnl"/>
              </w:rPr>
              <w:t xml:space="preserve">strategia. Con el propósito de valorar las preguntas se definió un conjunto de criterios mínimos, a partir de la consideración y adaptación de distintos documentos metodológicos elaborados por el Consejo Nacional de Evaluación de la Política de Desarrollo Social y la Secretaría de Hacienda y Crédito Público. </w:t>
            </w:r>
          </w:p>
          <w:p w:rsidR="00262422" w:rsidRPr="00405EC6" w:rsidRDefault="00262422" w:rsidP="00A30333">
            <w:pPr>
              <w:spacing w:after="0" w:line="240" w:lineRule="auto"/>
              <w:rPr>
                <w:color w:val="000000" w:themeColor="text1"/>
                <w:sz w:val="22"/>
                <w:lang w:val="es-ES_tradnl"/>
              </w:rPr>
            </w:pPr>
          </w:p>
        </w:tc>
      </w:tr>
    </w:tbl>
    <w:p w:rsidR="00262422" w:rsidRPr="00405EC6" w:rsidRDefault="00262422" w:rsidP="00262422">
      <w:pPr>
        <w:spacing w:after="0" w:line="240" w:lineRule="auto"/>
        <w:rPr>
          <w:color w:val="000000" w:themeColor="text1"/>
          <w:lang w:val="es-ES_tradnl"/>
        </w:rPr>
      </w:pPr>
    </w:p>
    <w:tbl>
      <w:tblPr>
        <w:tblW w:w="5000" w:type="pct"/>
        <w:tblCellMar>
          <w:left w:w="70" w:type="dxa"/>
          <w:right w:w="70" w:type="dxa"/>
        </w:tblCellMar>
        <w:tblLook w:val="04A0" w:firstRow="1" w:lastRow="0" w:firstColumn="1" w:lastColumn="0" w:noHBand="0" w:noVBand="1"/>
      </w:tblPr>
      <w:tblGrid>
        <w:gridCol w:w="9111"/>
      </w:tblGrid>
      <w:tr w:rsidR="00262422" w:rsidRPr="00405EC6" w:rsidTr="004A59C3">
        <w:trPr>
          <w:trHeight w:val="20"/>
        </w:trPr>
        <w:tc>
          <w:tcPr>
            <w:tcW w:w="5000" w:type="pct"/>
            <w:tcBorders>
              <w:top w:val="single" w:sz="4" w:space="0" w:color="auto"/>
              <w:left w:val="single" w:sz="4" w:space="0" w:color="auto"/>
              <w:bottom w:val="single" w:sz="4" w:space="0" w:color="auto"/>
              <w:right w:val="single" w:sz="4" w:space="0" w:color="auto"/>
            </w:tcBorders>
            <w:shd w:val="clear" w:color="000000" w:fill="808080"/>
            <w:noWrap/>
            <w:vAlign w:val="bottom"/>
            <w:hideMark/>
          </w:tcPr>
          <w:p w:rsidR="00262422" w:rsidRPr="00405EC6" w:rsidRDefault="00262422" w:rsidP="00A30333">
            <w:pPr>
              <w:spacing w:after="0" w:line="240" w:lineRule="auto"/>
              <w:jc w:val="center"/>
              <w:rPr>
                <w:b/>
                <w:bCs/>
                <w:color w:val="000000" w:themeColor="text1"/>
                <w:sz w:val="22"/>
                <w:lang w:val="es-ES_tradnl"/>
              </w:rPr>
            </w:pPr>
            <w:r w:rsidRPr="0061770E">
              <w:rPr>
                <w:b/>
                <w:bCs/>
                <w:color w:val="FFFFFF" w:themeColor="background1"/>
                <w:sz w:val="22"/>
                <w:lang w:val="es"/>
              </w:rPr>
              <w:t>PRINCIPALES HALLAZGOS DE LA EVALUACIÓN</w:t>
            </w:r>
          </w:p>
        </w:tc>
      </w:tr>
      <w:tr w:rsidR="00262422" w:rsidRPr="00405EC6" w:rsidTr="004A59C3">
        <w:trPr>
          <w:trHeight w:val="20"/>
        </w:trPr>
        <w:tc>
          <w:tcPr>
            <w:tcW w:w="5000" w:type="pct"/>
            <w:tcBorders>
              <w:top w:val="single" w:sz="4" w:space="0" w:color="auto"/>
              <w:left w:val="single" w:sz="4" w:space="0" w:color="auto"/>
              <w:bottom w:val="nil"/>
              <w:right w:val="single" w:sz="4" w:space="0" w:color="000000"/>
            </w:tcBorders>
            <w:shd w:val="clear" w:color="auto" w:fill="auto"/>
            <w:noWrap/>
            <w:vAlign w:val="bottom"/>
            <w:hideMark/>
          </w:tcPr>
          <w:p w:rsidR="00262422"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2.1 Describir los hallazgos más relevantes de la evaluación:</w:t>
            </w:r>
          </w:p>
          <w:p w:rsidR="003D6687" w:rsidRPr="0061770E" w:rsidRDefault="003D6687" w:rsidP="00A30333">
            <w:pPr>
              <w:spacing w:after="0" w:line="240" w:lineRule="auto"/>
              <w:rPr>
                <w:b/>
                <w:bCs/>
                <w:color w:val="000000" w:themeColor="text1"/>
                <w:sz w:val="22"/>
                <w:lang w:val="es-ES_tradnl"/>
              </w:rPr>
            </w:pPr>
          </w:p>
        </w:tc>
      </w:tr>
      <w:tr w:rsidR="00262422" w:rsidRPr="00405EC6" w:rsidTr="00A30333">
        <w:trPr>
          <w:trHeight w:val="20"/>
        </w:trPr>
        <w:tc>
          <w:tcPr>
            <w:tcW w:w="5000" w:type="pct"/>
            <w:tcBorders>
              <w:top w:val="nil"/>
              <w:left w:val="single" w:sz="4" w:space="0" w:color="auto"/>
              <w:bottom w:val="single" w:sz="4" w:space="0" w:color="auto"/>
              <w:right w:val="single" w:sz="4" w:space="0" w:color="000000"/>
            </w:tcBorders>
            <w:shd w:val="clear" w:color="auto" w:fill="auto"/>
            <w:vAlign w:val="bottom"/>
            <w:hideMark/>
          </w:tcPr>
          <w:p w:rsidR="00FC7E2E" w:rsidRDefault="00262422" w:rsidP="00A30333">
            <w:pPr>
              <w:spacing w:after="0" w:line="240" w:lineRule="auto"/>
              <w:rPr>
                <w:color w:val="000000" w:themeColor="text1"/>
                <w:sz w:val="22"/>
                <w:lang w:val="es-ES_tradnl"/>
              </w:rPr>
            </w:pPr>
            <w:r w:rsidRPr="00E00EA1">
              <w:rPr>
                <w:color w:val="000000" w:themeColor="text1"/>
                <w:sz w:val="22"/>
                <w:lang w:val="es-ES_tradnl"/>
              </w:rPr>
              <w:t>Como resultado de la evaluación se encontró que el problema público</w:t>
            </w:r>
            <w:r>
              <w:rPr>
                <w:color w:val="000000" w:themeColor="text1"/>
                <w:sz w:val="22"/>
                <w:lang w:val="es-ES_tradnl"/>
              </w:rPr>
              <w:t>,</w:t>
            </w:r>
            <w:r w:rsidRPr="00E00EA1">
              <w:rPr>
                <w:color w:val="000000" w:themeColor="text1"/>
                <w:sz w:val="22"/>
                <w:lang w:val="es-ES_tradnl"/>
              </w:rPr>
              <w:t xml:space="preserve"> al que busca contribuir</w:t>
            </w:r>
            <w:r>
              <w:rPr>
                <w:color w:val="000000" w:themeColor="text1"/>
                <w:sz w:val="22"/>
                <w:lang w:val="es-ES_tradnl"/>
              </w:rPr>
              <w:t xml:space="preserve"> a resolver</w:t>
            </w:r>
            <w:r w:rsidRPr="00E00EA1">
              <w:rPr>
                <w:color w:val="000000" w:themeColor="text1"/>
                <w:sz w:val="22"/>
                <w:lang w:val="es-ES_tradnl"/>
              </w:rPr>
              <w:t xml:space="preserve"> la </w:t>
            </w:r>
            <w:r>
              <w:rPr>
                <w:color w:val="000000" w:themeColor="text1"/>
                <w:sz w:val="22"/>
                <w:lang w:val="es-ES_tradnl"/>
              </w:rPr>
              <w:t>Estrategia de Transparencia Gubernamental,</w:t>
            </w:r>
            <w:r w:rsidRPr="00E00EA1">
              <w:rPr>
                <w:color w:val="000000" w:themeColor="text1"/>
                <w:sz w:val="22"/>
                <w:lang w:val="es-ES_tradnl"/>
              </w:rPr>
              <w:t xml:space="preserve"> está claramente definido</w:t>
            </w:r>
            <w:r>
              <w:rPr>
                <w:color w:val="000000" w:themeColor="text1"/>
                <w:sz w:val="22"/>
                <w:lang w:val="es-ES_tradnl"/>
              </w:rPr>
              <w:t>,</w:t>
            </w:r>
            <w:r w:rsidRPr="00E00EA1">
              <w:rPr>
                <w:color w:val="000000" w:themeColor="text1"/>
                <w:sz w:val="22"/>
                <w:lang w:val="es-ES_tradnl"/>
              </w:rPr>
              <w:t xml:space="preserve"> al identificar la población que lo padece, sus causas y sus efectos. Es importante que esta definición sea homogénea en todos los documentos normativos de la </w:t>
            </w:r>
            <w:r>
              <w:rPr>
                <w:color w:val="000000" w:themeColor="text1"/>
                <w:sz w:val="22"/>
                <w:lang w:val="es-ES_tradnl"/>
              </w:rPr>
              <w:t>Estrategia de Transparencia Gubernamental</w:t>
            </w:r>
            <w:r w:rsidRPr="00E00EA1">
              <w:rPr>
                <w:color w:val="000000" w:themeColor="text1"/>
                <w:sz w:val="22"/>
                <w:lang w:val="es-ES_tradnl"/>
              </w:rPr>
              <w:t>, desde la planeación, hasta la</w:t>
            </w:r>
            <w:r>
              <w:rPr>
                <w:color w:val="000000" w:themeColor="text1"/>
                <w:sz w:val="22"/>
                <w:lang w:val="es-ES_tradnl"/>
              </w:rPr>
              <w:t xml:space="preserve"> operación. </w:t>
            </w:r>
          </w:p>
          <w:p w:rsidR="00262422" w:rsidRPr="00E00EA1" w:rsidRDefault="00262422" w:rsidP="00A30333">
            <w:pPr>
              <w:spacing w:after="0" w:line="240" w:lineRule="auto"/>
              <w:rPr>
                <w:color w:val="000000" w:themeColor="text1"/>
                <w:sz w:val="22"/>
                <w:lang w:val="es-ES_tradnl"/>
              </w:rPr>
            </w:pPr>
            <w:r w:rsidRPr="00E00EA1">
              <w:rPr>
                <w:color w:val="000000" w:themeColor="text1"/>
                <w:sz w:val="22"/>
                <w:lang w:val="es-ES_tradnl"/>
              </w:rPr>
              <w:t xml:space="preserve">Otro hallazgo relevante, es que la </w:t>
            </w:r>
            <w:r>
              <w:rPr>
                <w:color w:val="000000" w:themeColor="text1"/>
                <w:sz w:val="22"/>
                <w:lang w:val="es-ES_tradnl"/>
              </w:rPr>
              <w:t>Estrategia de Transparencia Gubernamental</w:t>
            </w:r>
            <w:r w:rsidRPr="00E00EA1">
              <w:rPr>
                <w:color w:val="000000" w:themeColor="text1"/>
                <w:sz w:val="22"/>
                <w:lang w:val="es-ES_tradnl"/>
              </w:rPr>
              <w:t xml:space="preserve"> consiste en la entrega de diversos bienes y servicios tanto en materia de transparencia, rendi</w:t>
            </w:r>
            <w:r>
              <w:rPr>
                <w:color w:val="000000" w:themeColor="text1"/>
                <w:sz w:val="22"/>
                <w:lang w:val="es-ES_tradnl"/>
              </w:rPr>
              <w:t xml:space="preserve">ción de cuentas, </w:t>
            </w:r>
            <w:r w:rsidRPr="00E00EA1">
              <w:rPr>
                <w:color w:val="000000" w:themeColor="text1"/>
                <w:sz w:val="22"/>
                <w:lang w:val="es-ES_tradnl"/>
              </w:rPr>
              <w:t>protección de datos perso</w:t>
            </w:r>
            <w:r>
              <w:rPr>
                <w:color w:val="000000" w:themeColor="text1"/>
                <w:sz w:val="22"/>
                <w:lang w:val="es-ES_tradnl"/>
              </w:rPr>
              <w:t>nales y combate a la corrupción, que se complementan entre sí</w:t>
            </w:r>
            <w:r w:rsidRPr="00E00EA1">
              <w:rPr>
                <w:color w:val="000000" w:themeColor="text1"/>
                <w:sz w:val="22"/>
                <w:lang w:val="es-ES_tradnl"/>
              </w:rPr>
              <w:t xml:space="preserve"> con las acciones implementadas por otras instan</w:t>
            </w:r>
            <w:r>
              <w:rPr>
                <w:color w:val="000000" w:themeColor="text1"/>
                <w:sz w:val="22"/>
                <w:lang w:val="es-ES_tradnl"/>
              </w:rPr>
              <w:t xml:space="preserve">cias gubernamentales del estado, como los son la </w:t>
            </w:r>
            <w:r w:rsidRPr="00774074">
              <w:rPr>
                <w:color w:val="000000" w:themeColor="text1"/>
                <w:sz w:val="22"/>
                <w:lang w:val="es-ES_tradnl"/>
              </w:rPr>
              <w:t>Secretaría Ejecutiva del Sistema Estatal de Combate a la Corrupción</w:t>
            </w:r>
            <w:r>
              <w:rPr>
                <w:color w:val="000000" w:themeColor="text1"/>
                <w:sz w:val="22"/>
                <w:lang w:val="es-ES_tradnl"/>
              </w:rPr>
              <w:t xml:space="preserve"> y el </w:t>
            </w:r>
            <w:r w:rsidRPr="00774074">
              <w:rPr>
                <w:color w:val="000000" w:themeColor="text1"/>
                <w:sz w:val="22"/>
                <w:lang w:val="es-ES_tradnl"/>
              </w:rPr>
              <w:t>Órgano Garante de Acceso a la Información Pública, Transparencia, Proyección de datos Personales y Buen Gobierno</w:t>
            </w:r>
            <w:r>
              <w:rPr>
                <w:color w:val="000000" w:themeColor="text1"/>
                <w:sz w:val="22"/>
                <w:lang w:val="es-ES_tradnl"/>
              </w:rPr>
              <w:t>.</w:t>
            </w:r>
          </w:p>
          <w:p w:rsidR="00262422" w:rsidRDefault="00262422" w:rsidP="00A30333">
            <w:pPr>
              <w:spacing w:after="0" w:line="240" w:lineRule="auto"/>
              <w:rPr>
                <w:color w:val="000000" w:themeColor="text1"/>
                <w:sz w:val="22"/>
                <w:lang w:val="es-ES_tradnl"/>
              </w:rPr>
            </w:pPr>
            <w:r w:rsidRPr="00E00EA1">
              <w:rPr>
                <w:color w:val="000000" w:themeColor="text1"/>
                <w:sz w:val="22"/>
                <w:lang w:val="es-ES_tradnl"/>
              </w:rPr>
              <w:t xml:space="preserve">Por parte de los indicadores de desempeño, un hallazgo importante es que se cuenta con indicadores que permiten medir los avances respecto a lo programado y destaca la elaboración del Índice Global de Cumplimiento de las Obligaciones de Transparencia, a nivel propósito, que es sin duda una medida innovadora propuesta por la entidad para medir el avance en materia de Transparencia. Finalmente, resalta el Índice de transparencia y disponibilidad fiscal, a nivel fin, que se calculan por instancias externas al </w:t>
            </w:r>
            <w:r>
              <w:rPr>
                <w:color w:val="000000" w:themeColor="text1"/>
                <w:sz w:val="22"/>
                <w:lang w:val="es-ES_tradnl"/>
              </w:rPr>
              <w:t>Gobierno del Estado de Oaxaca</w:t>
            </w:r>
            <w:r w:rsidRPr="00E00EA1">
              <w:rPr>
                <w:color w:val="000000" w:themeColor="text1"/>
                <w:sz w:val="22"/>
                <w:lang w:val="es-ES_tradnl"/>
              </w:rPr>
              <w:t xml:space="preserve">, lo cual tiene como punto a favor que su medición es imparcial. </w:t>
            </w:r>
          </w:p>
          <w:p w:rsidR="002856FD" w:rsidRDefault="00262422" w:rsidP="00A30333">
            <w:pPr>
              <w:spacing w:after="0" w:line="240" w:lineRule="auto"/>
              <w:rPr>
                <w:color w:val="000000" w:themeColor="text1"/>
                <w:sz w:val="22"/>
                <w:lang w:val="es-ES_tradnl"/>
              </w:rPr>
            </w:pPr>
            <w:r w:rsidRPr="00E00EA1">
              <w:rPr>
                <w:color w:val="000000" w:themeColor="text1"/>
                <w:sz w:val="22"/>
                <w:lang w:val="es-ES_tradnl"/>
              </w:rPr>
              <w:t xml:space="preserve">El resultado de la implementación de la </w:t>
            </w:r>
            <w:r>
              <w:rPr>
                <w:color w:val="000000" w:themeColor="text1"/>
                <w:sz w:val="22"/>
                <w:lang w:val="es-ES_tradnl"/>
              </w:rPr>
              <w:t>Estrategia de Transparencia Gubernamental</w:t>
            </w:r>
            <w:r w:rsidRPr="00E00EA1">
              <w:rPr>
                <w:color w:val="000000" w:themeColor="text1"/>
                <w:sz w:val="22"/>
                <w:lang w:val="es-ES_tradnl"/>
              </w:rPr>
              <w:t xml:space="preserve"> ha sido favorable y ha tenido una tendencia creciente. </w:t>
            </w:r>
            <w:r>
              <w:rPr>
                <w:color w:val="000000" w:themeColor="text1"/>
                <w:sz w:val="22"/>
                <w:lang w:val="es-ES_tradnl"/>
              </w:rPr>
              <w:t>E</w:t>
            </w:r>
            <w:r w:rsidRPr="00E00EA1">
              <w:rPr>
                <w:color w:val="000000" w:themeColor="text1"/>
                <w:sz w:val="22"/>
                <w:lang w:val="es-ES_tradnl"/>
              </w:rPr>
              <w:t>s notable que la mayoría de los indicadores de resultados y de gestió</w:t>
            </w:r>
            <w:r>
              <w:rPr>
                <w:color w:val="000000" w:themeColor="text1"/>
                <w:sz w:val="22"/>
                <w:lang w:val="es-ES_tradnl"/>
              </w:rPr>
              <w:t xml:space="preserve">n muestran resultados positivos, alcancen y rebasen sus metas. </w:t>
            </w:r>
            <w:r w:rsidRPr="00E00EA1">
              <w:rPr>
                <w:color w:val="000000" w:themeColor="text1"/>
                <w:sz w:val="22"/>
                <w:lang w:val="es-ES_tradnl"/>
              </w:rPr>
              <w:t xml:space="preserve">La implementación de la </w:t>
            </w:r>
            <w:r>
              <w:rPr>
                <w:color w:val="000000" w:themeColor="text1"/>
                <w:sz w:val="22"/>
                <w:lang w:val="es-ES_tradnl"/>
              </w:rPr>
              <w:t>Estrategia de Transparencia Gubernamental</w:t>
            </w:r>
            <w:r w:rsidRPr="00E00EA1">
              <w:rPr>
                <w:color w:val="000000" w:themeColor="text1"/>
                <w:sz w:val="22"/>
                <w:lang w:val="es-ES_tradnl"/>
              </w:rPr>
              <w:t xml:space="preserve"> ha sido eficaz, puesto que se han logrado todas sus metas y se observan avances e</w:t>
            </w:r>
            <w:r>
              <w:rPr>
                <w:color w:val="000000" w:themeColor="text1"/>
                <w:sz w:val="22"/>
                <w:lang w:val="es-ES_tradnl"/>
              </w:rPr>
              <w:t>n el Índice de Transparencia y Disponibilidad F</w:t>
            </w:r>
            <w:r w:rsidRPr="00E00EA1">
              <w:rPr>
                <w:color w:val="000000" w:themeColor="text1"/>
                <w:sz w:val="22"/>
                <w:lang w:val="es-ES_tradnl"/>
              </w:rPr>
              <w:t xml:space="preserve">iscal para el </w:t>
            </w:r>
            <w:r>
              <w:rPr>
                <w:color w:val="000000" w:themeColor="text1"/>
                <w:sz w:val="22"/>
                <w:lang w:val="es-ES_tradnl"/>
              </w:rPr>
              <w:t>Estado de Oaxaca</w:t>
            </w:r>
            <w:r w:rsidRPr="00E00EA1">
              <w:rPr>
                <w:color w:val="000000" w:themeColor="text1"/>
                <w:sz w:val="22"/>
                <w:lang w:val="es-ES_tradnl"/>
              </w:rPr>
              <w:t xml:space="preserve">. </w:t>
            </w:r>
          </w:p>
          <w:p w:rsidR="00262422" w:rsidRDefault="002856FD" w:rsidP="00A30333">
            <w:pPr>
              <w:spacing w:after="0" w:line="240" w:lineRule="auto"/>
              <w:rPr>
                <w:color w:val="000000" w:themeColor="text1"/>
                <w:sz w:val="22"/>
                <w:lang w:val="es-ES_tradnl"/>
              </w:rPr>
            </w:pPr>
            <w:r>
              <w:rPr>
                <w:color w:val="000000" w:themeColor="text1"/>
                <w:sz w:val="22"/>
                <w:lang w:val="es-ES_tradnl"/>
              </w:rPr>
              <w:t>La</w:t>
            </w:r>
            <w:r w:rsidR="00262422" w:rsidRPr="00E00EA1">
              <w:rPr>
                <w:color w:val="000000" w:themeColor="text1"/>
                <w:sz w:val="22"/>
                <w:lang w:val="es-ES_tradnl"/>
              </w:rPr>
              <w:t xml:space="preserve"> </w:t>
            </w:r>
            <w:r w:rsidR="00262422">
              <w:rPr>
                <w:color w:val="000000" w:themeColor="text1"/>
                <w:sz w:val="22"/>
                <w:lang w:val="es-ES_tradnl"/>
              </w:rPr>
              <w:t>Estrategia de Transparencia Gubernamental</w:t>
            </w:r>
            <w:r w:rsidR="00262422" w:rsidRPr="00E00EA1">
              <w:rPr>
                <w:color w:val="000000" w:themeColor="text1"/>
                <w:sz w:val="22"/>
                <w:lang w:val="es-ES_tradnl"/>
              </w:rPr>
              <w:t xml:space="preserve"> ha tenido in</w:t>
            </w:r>
            <w:r w:rsidR="00262422">
              <w:rPr>
                <w:color w:val="000000" w:themeColor="text1"/>
                <w:sz w:val="22"/>
                <w:lang w:val="es-ES_tradnl"/>
              </w:rPr>
              <w:t xml:space="preserve">cidencia fuera de sus unidades responsables, </w:t>
            </w:r>
            <w:r w:rsidR="00262422" w:rsidRPr="00E00EA1">
              <w:rPr>
                <w:color w:val="000000" w:themeColor="text1"/>
                <w:sz w:val="22"/>
                <w:lang w:val="es-ES_tradnl"/>
              </w:rPr>
              <w:t>pues</w:t>
            </w:r>
            <w:r w:rsidR="00262422">
              <w:rPr>
                <w:color w:val="000000" w:themeColor="text1"/>
                <w:sz w:val="22"/>
                <w:lang w:val="es-ES_tradnl"/>
              </w:rPr>
              <w:t>, con base en los resultados de las entrevistas aplicas, se identificó que</w:t>
            </w:r>
            <w:r w:rsidR="00262422" w:rsidRPr="00E00EA1">
              <w:rPr>
                <w:color w:val="000000" w:themeColor="text1"/>
                <w:sz w:val="22"/>
                <w:lang w:val="es-ES_tradnl"/>
              </w:rPr>
              <w:t xml:space="preserve"> tiene una</w:t>
            </w:r>
            <w:r w:rsidR="00262422">
              <w:rPr>
                <w:color w:val="000000" w:themeColor="text1"/>
                <w:sz w:val="22"/>
                <w:lang w:val="es-ES_tradnl"/>
              </w:rPr>
              <w:t xml:space="preserve"> percepción favorable</w:t>
            </w:r>
            <w:r w:rsidR="00262422" w:rsidRPr="00E00EA1">
              <w:rPr>
                <w:color w:val="000000" w:themeColor="text1"/>
                <w:sz w:val="22"/>
                <w:lang w:val="es-ES_tradnl"/>
              </w:rPr>
              <w:t>.</w:t>
            </w:r>
          </w:p>
          <w:p w:rsidR="00756E8C" w:rsidRPr="00405EC6" w:rsidRDefault="00756E8C" w:rsidP="00A30333">
            <w:pPr>
              <w:spacing w:after="0" w:line="240" w:lineRule="auto"/>
              <w:rPr>
                <w:color w:val="000000" w:themeColor="text1"/>
                <w:sz w:val="22"/>
                <w:lang w:val="es-ES_tradnl"/>
              </w:rPr>
            </w:pPr>
          </w:p>
        </w:tc>
      </w:tr>
      <w:tr w:rsidR="00262422" w:rsidRPr="00405EC6" w:rsidTr="00A30333">
        <w:trPr>
          <w:trHeight w:val="20"/>
        </w:trPr>
        <w:tc>
          <w:tcPr>
            <w:tcW w:w="5000" w:type="pct"/>
            <w:tcBorders>
              <w:top w:val="single" w:sz="4" w:space="0" w:color="auto"/>
              <w:left w:val="single" w:sz="4" w:space="0" w:color="auto"/>
              <w:bottom w:val="nil"/>
              <w:right w:val="single" w:sz="4" w:space="0" w:color="000000"/>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2.2 Señalar cuáles son las principales Fortalezas, Oportunidades, Debilidades y Amenazas (FODA), de acuerdo con los temas de la política, programa, estrategia o instituciones</w:t>
            </w:r>
          </w:p>
        </w:tc>
      </w:tr>
      <w:tr w:rsidR="00262422" w:rsidRPr="00405EC6" w:rsidTr="00A30333">
        <w:trPr>
          <w:trHeight w:val="20"/>
        </w:trPr>
        <w:tc>
          <w:tcPr>
            <w:tcW w:w="5000" w:type="pct"/>
            <w:tcBorders>
              <w:top w:val="single" w:sz="4" w:space="0" w:color="auto"/>
              <w:left w:val="single" w:sz="4" w:space="0" w:color="auto"/>
              <w:bottom w:val="nil"/>
              <w:right w:val="single" w:sz="4" w:space="0" w:color="000000"/>
            </w:tcBorders>
            <w:shd w:val="clear" w:color="auto" w:fill="auto"/>
            <w:noWrap/>
            <w:vAlign w:val="bottom"/>
            <w:hideMark/>
          </w:tcPr>
          <w:p w:rsidR="00262422" w:rsidRPr="003D6687" w:rsidRDefault="00262422" w:rsidP="00A30333">
            <w:pPr>
              <w:spacing w:after="0" w:line="240" w:lineRule="auto"/>
              <w:rPr>
                <w:b/>
                <w:color w:val="000000" w:themeColor="text1"/>
                <w:sz w:val="22"/>
                <w:lang w:val="es-ES_tradnl"/>
              </w:rPr>
            </w:pPr>
            <w:r w:rsidRPr="003D6687">
              <w:rPr>
                <w:b/>
                <w:color w:val="000000" w:themeColor="text1"/>
                <w:sz w:val="22"/>
                <w:lang w:val="es-ES_tradnl"/>
              </w:rPr>
              <w:t>2.2.1 Fortalezas:</w:t>
            </w:r>
          </w:p>
        </w:tc>
      </w:tr>
      <w:tr w:rsidR="00262422" w:rsidRPr="00405EC6" w:rsidTr="00A30333">
        <w:trPr>
          <w:trHeight w:val="20"/>
        </w:trPr>
        <w:tc>
          <w:tcPr>
            <w:tcW w:w="5000" w:type="pct"/>
            <w:tcBorders>
              <w:top w:val="nil"/>
              <w:left w:val="single" w:sz="4" w:space="0" w:color="auto"/>
              <w:bottom w:val="single" w:sz="4" w:space="0" w:color="auto"/>
              <w:right w:val="single" w:sz="4" w:space="0" w:color="000000"/>
            </w:tcBorders>
            <w:shd w:val="clear" w:color="auto" w:fill="auto"/>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1. La problemática principal se encuentra identificada claramente desde las causas, la población que lo padece y sus efectos. Esto permite tener claridad sobre qué se busca lograr con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lastRenderedPageBreak/>
              <w:t xml:space="preserve">2. </w:t>
            </w:r>
            <w:r>
              <w:rPr>
                <w:color w:val="000000" w:themeColor="text1"/>
                <w:sz w:val="22"/>
                <w:lang w:val="es-ES_tradnl"/>
              </w:rPr>
              <w:t>El programa</w:t>
            </w:r>
            <w:r w:rsidRPr="00405EC6">
              <w:rPr>
                <w:color w:val="000000" w:themeColor="text1"/>
                <w:sz w:val="22"/>
                <w:lang w:val="es-ES_tradnl"/>
              </w:rPr>
              <w:t xml:space="preserve"> que forman parte de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se encuentra orientado a resultados. </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3. Los indicadores de gestión de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alcanzan y superan las metas establecidas.</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4. Los bienes y servicios que propone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se complementan entre sí.</w:t>
            </w:r>
          </w:p>
          <w:p w:rsidR="00262422"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5.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tiene una percepción positiva por parte de las instancias que participan en su implementación e incluso ha tenido incidencia en sus propias actividades relacionadas con los temas </w:t>
            </w:r>
          </w:p>
          <w:p w:rsidR="00E35549" w:rsidRPr="00405EC6" w:rsidRDefault="00E35549" w:rsidP="00A30333">
            <w:pPr>
              <w:spacing w:after="0" w:line="240" w:lineRule="auto"/>
              <w:rPr>
                <w:color w:val="000000" w:themeColor="text1"/>
                <w:sz w:val="22"/>
                <w:lang w:val="es-ES_tradnl"/>
              </w:rPr>
            </w:pPr>
          </w:p>
        </w:tc>
      </w:tr>
      <w:tr w:rsidR="00262422" w:rsidRPr="00405EC6" w:rsidTr="00A30333">
        <w:trPr>
          <w:trHeight w:val="20"/>
        </w:trPr>
        <w:tc>
          <w:tcPr>
            <w:tcW w:w="5000" w:type="pct"/>
            <w:tcBorders>
              <w:top w:val="single" w:sz="4" w:space="0" w:color="auto"/>
              <w:left w:val="single" w:sz="4" w:space="0" w:color="auto"/>
              <w:bottom w:val="nil"/>
              <w:right w:val="single" w:sz="4" w:space="0" w:color="000000"/>
            </w:tcBorders>
            <w:shd w:val="clear" w:color="auto" w:fill="auto"/>
            <w:hideMark/>
          </w:tcPr>
          <w:p w:rsidR="00262422" w:rsidRPr="003D6687" w:rsidRDefault="00262422" w:rsidP="00A30333">
            <w:pPr>
              <w:spacing w:after="0" w:line="240" w:lineRule="auto"/>
              <w:rPr>
                <w:b/>
                <w:color w:val="000000" w:themeColor="text1"/>
                <w:sz w:val="22"/>
                <w:lang w:val="es-ES_tradnl"/>
              </w:rPr>
            </w:pPr>
            <w:r w:rsidRPr="003D6687">
              <w:rPr>
                <w:b/>
                <w:color w:val="000000" w:themeColor="text1"/>
                <w:sz w:val="22"/>
                <w:lang w:val="es-ES_tradnl"/>
              </w:rPr>
              <w:lastRenderedPageBreak/>
              <w:t>2.2.2 Oportunidades:</w:t>
            </w:r>
          </w:p>
        </w:tc>
      </w:tr>
      <w:tr w:rsidR="00262422" w:rsidRPr="00405EC6" w:rsidTr="00A30333">
        <w:trPr>
          <w:trHeight w:val="20"/>
        </w:trPr>
        <w:tc>
          <w:tcPr>
            <w:tcW w:w="5000" w:type="pct"/>
            <w:tcBorders>
              <w:top w:val="nil"/>
              <w:left w:val="single" w:sz="4" w:space="0" w:color="auto"/>
              <w:bottom w:val="single" w:sz="4" w:space="0" w:color="auto"/>
              <w:right w:val="single" w:sz="4" w:space="0" w:color="000000"/>
            </w:tcBorders>
            <w:shd w:val="clear" w:color="auto" w:fill="auto"/>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1. El Instituto Nacional de Transparencia, Acceso a la Información y Protección de Datos Personales realiza premios de buenas prácticas que pueden ser aprovechados por la entidad para posicionar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2. Existe un estándar de competencias en transparencia y protección de datos personales que podría aprovecharse para fortalecer las capacidades de la Unidad Responsable. </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3. El Consejo Nacional de Evaluación de la Política de Desarrollo Social lleva a cabo una convocatoria, cada dos años, para reconocer las mejores prácticas en materia social. Una de las categorías en las que podría participar la entidad es la de transparencia y rendición de cuentas. </w:t>
            </w:r>
          </w:p>
          <w:p w:rsidR="00262422" w:rsidRDefault="00262422" w:rsidP="00A30333">
            <w:pPr>
              <w:spacing w:after="0" w:line="240" w:lineRule="auto"/>
              <w:rPr>
                <w:color w:val="000000" w:themeColor="text1"/>
                <w:sz w:val="22"/>
                <w:lang w:val="es-ES_tradnl"/>
              </w:rPr>
            </w:pPr>
            <w:r>
              <w:rPr>
                <w:color w:val="000000" w:themeColor="text1"/>
                <w:sz w:val="22"/>
                <w:lang w:val="es-ES_tradnl"/>
              </w:rPr>
              <w:t>4</w:t>
            </w:r>
            <w:r w:rsidRPr="00405EC6">
              <w:rPr>
                <w:color w:val="000000" w:themeColor="text1"/>
                <w:sz w:val="22"/>
                <w:lang w:val="es-ES_tradnl"/>
              </w:rPr>
              <w:t xml:space="preserve">. Existen buenas prácticas nacionales e internacionales que pueden fortalecer las acciones que ya desarrolla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w:t>
            </w:r>
          </w:p>
          <w:p w:rsidR="00E35549" w:rsidRPr="00405EC6" w:rsidRDefault="00E35549" w:rsidP="00E35549">
            <w:pPr>
              <w:spacing w:after="0" w:line="240" w:lineRule="auto"/>
              <w:ind w:left="0" w:firstLine="0"/>
              <w:rPr>
                <w:color w:val="000000" w:themeColor="text1"/>
                <w:sz w:val="22"/>
                <w:lang w:val="es-ES_tradnl"/>
              </w:rPr>
            </w:pPr>
          </w:p>
        </w:tc>
      </w:tr>
      <w:tr w:rsidR="00262422" w:rsidRPr="00405EC6" w:rsidTr="00A30333">
        <w:trPr>
          <w:trHeight w:val="20"/>
        </w:trPr>
        <w:tc>
          <w:tcPr>
            <w:tcW w:w="5000" w:type="pct"/>
            <w:tcBorders>
              <w:top w:val="single" w:sz="4" w:space="0" w:color="auto"/>
              <w:left w:val="single" w:sz="4" w:space="0" w:color="auto"/>
              <w:bottom w:val="nil"/>
              <w:right w:val="single" w:sz="4" w:space="0" w:color="000000"/>
            </w:tcBorders>
            <w:shd w:val="clear" w:color="auto" w:fill="auto"/>
            <w:hideMark/>
          </w:tcPr>
          <w:p w:rsidR="00262422" w:rsidRPr="002119C6" w:rsidRDefault="00262422" w:rsidP="00A30333">
            <w:pPr>
              <w:spacing w:after="0" w:line="240" w:lineRule="auto"/>
              <w:rPr>
                <w:b/>
                <w:color w:val="000000" w:themeColor="text1"/>
                <w:sz w:val="22"/>
                <w:lang w:val="es-ES_tradnl"/>
              </w:rPr>
            </w:pPr>
            <w:r w:rsidRPr="002119C6">
              <w:rPr>
                <w:b/>
                <w:color w:val="000000" w:themeColor="text1"/>
                <w:sz w:val="22"/>
                <w:lang w:val="es-ES_tradnl"/>
              </w:rPr>
              <w:t>2.2.3 Debilidades:</w:t>
            </w:r>
          </w:p>
        </w:tc>
      </w:tr>
      <w:tr w:rsidR="00262422" w:rsidRPr="00405EC6" w:rsidTr="00A30333">
        <w:trPr>
          <w:trHeight w:val="20"/>
        </w:trPr>
        <w:tc>
          <w:tcPr>
            <w:tcW w:w="5000" w:type="pct"/>
            <w:tcBorders>
              <w:top w:val="nil"/>
              <w:left w:val="single" w:sz="4" w:space="0" w:color="auto"/>
              <w:bottom w:val="single" w:sz="4" w:space="0" w:color="auto"/>
              <w:right w:val="single" w:sz="4" w:space="0" w:color="000000"/>
            </w:tcBorders>
            <w:shd w:val="clear" w:color="auto" w:fill="auto"/>
            <w:vAlign w:val="center"/>
            <w:hideMark/>
          </w:tcPr>
          <w:p w:rsidR="00262422" w:rsidRPr="00405EC6" w:rsidRDefault="00262422" w:rsidP="00262422">
            <w:pPr>
              <w:pStyle w:val="Prrafodelista"/>
              <w:numPr>
                <w:ilvl w:val="0"/>
                <w:numId w:val="3"/>
              </w:numPr>
              <w:spacing w:after="0" w:line="240" w:lineRule="auto"/>
              <w:rPr>
                <w:color w:val="000000" w:themeColor="text1"/>
                <w:sz w:val="22"/>
                <w:lang w:val="es-ES_tradnl"/>
              </w:rPr>
            </w:pPr>
            <w:r w:rsidRPr="00405EC6">
              <w:rPr>
                <w:color w:val="000000" w:themeColor="text1"/>
                <w:sz w:val="22"/>
                <w:lang w:val="es-ES_tradnl"/>
              </w:rPr>
              <w:t>Es importante homologar la definición del problema y las poblaciones desde los documentos planeación (PED, PES, PEI) hasta los operativos (MIR, PAT) Esto permitirá dar seguimiento desde las acciones hasta los impactos.</w:t>
            </w:r>
          </w:p>
          <w:p w:rsidR="00262422" w:rsidRPr="00405EC6" w:rsidRDefault="00262422" w:rsidP="00262422">
            <w:pPr>
              <w:pStyle w:val="Prrafodelista"/>
              <w:numPr>
                <w:ilvl w:val="0"/>
                <w:numId w:val="3"/>
              </w:numPr>
              <w:spacing w:after="0" w:line="240" w:lineRule="auto"/>
              <w:rPr>
                <w:color w:val="000000" w:themeColor="text1"/>
                <w:sz w:val="22"/>
                <w:lang w:val="es-ES_tradnl"/>
              </w:rPr>
            </w:pPr>
            <w:r w:rsidRPr="00405EC6">
              <w:rPr>
                <w:color w:val="000000" w:themeColor="text1"/>
                <w:sz w:val="22"/>
                <w:lang w:val="es-ES_tradnl"/>
              </w:rPr>
              <w:t xml:space="preserve">No se cuenta con información sistematizada que indique las atribuciones principales de los actores involucrados en la </w:t>
            </w:r>
            <w:r w:rsidRPr="00F40071">
              <w:rPr>
                <w:color w:val="000000" w:themeColor="text1"/>
                <w:sz w:val="22"/>
                <w:lang w:val="es-ES_tradnl"/>
              </w:rPr>
              <w:t>E</w:t>
            </w:r>
            <w:r>
              <w:rPr>
                <w:color w:val="000000" w:themeColor="text1"/>
                <w:sz w:val="22"/>
                <w:lang w:val="es-ES_tradnl"/>
              </w:rPr>
              <w:t xml:space="preserve">strategia de </w:t>
            </w:r>
            <w:r w:rsidRPr="00F40071">
              <w:rPr>
                <w:color w:val="000000" w:themeColor="text1"/>
                <w:sz w:val="22"/>
                <w:lang w:val="es-ES_tradnl"/>
              </w:rPr>
              <w:t>T</w:t>
            </w:r>
            <w:r>
              <w:rPr>
                <w:color w:val="000000" w:themeColor="text1"/>
                <w:sz w:val="22"/>
                <w:lang w:val="es-ES_tradnl"/>
              </w:rPr>
              <w:t xml:space="preserve">ransparencia </w:t>
            </w:r>
            <w:r w:rsidRPr="00F40071">
              <w:rPr>
                <w:color w:val="000000" w:themeColor="text1"/>
                <w:sz w:val="22"/>
                <w:lang w:val="es-ES_tradnl"/>
              </w:rPr>
              <w:t>G</w:t>
            </w:r>
            <w:r>
              <w:rPr>
                <w:color w:val="000000" w:themeColor="text1"/>
                <w:sz w:val="22"/>
                <w:lang w:val="es-ES_tradnl"/>
              </w:rPr>
              <w:t>ubernamental</w:t>
            </w:r>
            <w:r w:rsidRPr="00405EC6">
              <w:rPr>
                <w:color w:val="000000" w:themeColor="text1"/>
                <w:sz w:val="22"/>
                <w:lang w:val="es-ES_tradnl"/>
              </w:rPr>
              <w:t xml:space="preserve"> y sus mecanismos de coordinación. </w:t>
            </w:r>
          </w:p>
          <w:p w:rsidR="00262422" w:rsidRDefault="00262422" w:rsidP="00262422">
            <w:pPr>
              <w:pStyle w:val="Prrafodelista"/>
              <w:numPr>
                <w:ilvl w:val="0"/>
                <w:numId w:val="3"/>
              </w:numPr>
              <w:spacing w:after="0" w:line="240" w:lineRule="auto"/>
              <w:rPr>
                <w:color w:val="000000" w:themeColor="text1"/>
                <w:sz w:val="22"/>
                <w:lang w:val="es-ES_tradnl"/>
              </w:rPr>
            </w:pPr>
            <w:r w:rsidRPr="00405EC6">
              <w:rPr>
                <w:color w:val="000000" w:themeColor="text1"/>
                <w:sz w:val="22"/>
                <w:lang w:val="es-ES_tradnl"/>
              </w:rPr>
              <w:t xml:space="preserve">Algunos de los componentes deben desagregarse y revisarse para valorar si corresponden o no a nivel de actividades. </w:t>
            </w:r>
          </w:p>
          <w:p w:rsidR="00E35549" w:rsidRPr="00E36E47" w:rsidRDefault="00E35549" w:rsidP="00E35549">
            <w:pPr>
              <w:pStyle w:val="Prrafodelista"/>
              <w:spacing w:after="0" w:line="240" w:lineRule="auto"/>
              <w:ind w:left="360" w:firstLine="0"/>
              <w:rPr>
                <w:color w:val="000000" w:themeColor="text1"/>
                <w:sz w:val="22"/>
                <w:lang w:val="es-ES_tradnl"/>
              </w:rPr>
            </w:pPr>
          </w:p>
        </w:tc>
      </w:tr>
      <w:tr w:rsidR="00262422" w:rsidRPr="00405EC6" w:rsidTr="00A30333">
        <w:trPr>
          <w:trHeight w:val="20"/>
        </w:trPr>
        <w:tc>
          <w:tcPr>
            <w:tcW w:w="5000" w:type="pct"/>
            <w:tcBorders>
              <w:top w:val="single" w:sz="4" w:space="0" w:color="auto"/>
              <w:left w:val="single" w:sz="4" w:space="0" w:color="auto"/>
              <w:bottom w:val="nil"/>
              <w:right w:val="single" w:sz="4" w:space="0" w:color="000000"/>
            </w:tcBorders>
            <w:shd w:val="clear" w:color="auto" w:fill="auto"/>
            <w:noWrap/>
            <w:vAlign w:val="bottom"/>
            <w:hideMark/>
          </w:tcPr>
          <w:p w:rsidR="00262422" w:rsidRPr="002119C6" w:rsidRDefault="00262422" w:rsidP="00A30333">
            <w:pPr>
              <w:spacing w:after="0" w:line="240" w:lineRule="auto"/>
              <w:rPr>
                <w:b/>
                <w:color w:val="000000" w:themeColor="text1"/>
                <w:sz w:val="22"/>
                <w:lang w:val="es-ES_tradnl"/>
              </w:rPr>
            </w:pPr>
            <w:r w:rsidRPr="002119C6">
              <w:rPr>
                <w:b/>
                <w:color w:val="000000" w:themeColor="text1"/>
                <w:sz w:val="22"/>
                <w:lang w:val="es-ES_tradnl"/>
              </w:rPr>
              <w:t>2.2.4 Amenazas:</w:t>
            </w:r>
          </w:p>
        </w:tc>
      </w:tr>
      <w:tr w:rsidR="00262422" w:rsidRPr="00405EC6" w:rsidTr="00A30333">
        <w:trPr>
          <w:trHeight w:val="20"/>
        </w:trPr>
        <w:tc>
          <w:tcPr>
            <w:tcW w:w="5000" w:type="pct"/>
            <w:tcBorders>
              <w:top w:val="nil"/>
              <w:left w:val="single" w:sz="4" w:space="0" w:color="auto"/>
              <w:bottom w:val="single" w:sz="4" w:space="0" w:color="auto"/>
              <w:right w:val="single" w:sz="4" w:space="0" w:color="000000"/>
            </w:tcBorders>
            <w:shd w:val="clear" w:color="auto" w:fill="auto"/>
            <w:noWrap/>
            <w:vAlign w:val="bottom"/>
            <w:hideMark/>
          </w:tcPr>
          <w:p w:rsidR="0025197F" w:rsidRDefault="00262422" w:rsidP="0025197F">
            <w:pPr>
              <w:pStyle w:val="Prrafodelista"/>
              <w:numPr>
                <w:ilvl w:val="0"/>
                <w:numId w:val="4"/>
              </w:numPr>
              <w:spacing w:after="0" w:line="240" w:lineRule="auto"/>
              <w:rPr>
                <w:color w:val="000000" w:themeColor="text1"/>
                <w:sz w:val="22"/>
                <w:lang w:val="es-ES_tradnl"/>
              </w:rPr>
            </w:pPr>
            <w:r w:rsidRPr="00405EC6">
              <w:rPr>
                <w:color w:val="000000" w:themeColor="text1"/>
                <w:sz w:val="22"/>
                <w:lang w:val="es-ES_tradnl"/>
              </w:rPr>
              <w:t xml:space="preserve">El uso de un indicador externo a nivel fin </w:t>
            </w:r>
            <w:r>
              <w:rPr>
                <w:color w:val="000000" w:themeColor="text1"/>
                <w:sz w:val="22"/>
                <w:lang w:val="es-ES_tradnl"/>
              </w:rPr>
              <w:t>proporciona</w:t>
            </w:r>
            <w:r w:rsidRPr="00405EC6">
              <w:rPr>
                <w:color w:val="000000" w:themeColor="text1"/>
                <w:sz w:val="22"/>
                <w:lang w:val="es-ES_tradnl"/>
              </w:rPr>
              <w:t xml:space="preserve"> imparcialidad, pero sujeta al Gobierno del Estado a la condición de realización del Índice para todos los años, lo cual no está garantizado. </w:t>
            </w:r>
          </w:p>
          <w:p w:rsidR="00262422" w:rsidRDefault="00262422" w:rsidP="0025197F">
            <w:pPr>
              <w:pStyle w:val="Prrafodelista"/>
              <w:numPr>
                <w:ilvl w:val="0"/>
                <w:numId w:val="4"/>
              </w:numPr>
              <w:spacing w:after="0" w:line="240" w:lineRule="auto"/>
              <w:rPr>
                <w:color w:val="000000" w:themeColor="text1"/>
                <w:sz w:val="22"/>
                <w:lang w:val="es-ES_tradnl"/>
              </w:rPr>
            </w:pPr>
            <w:r w:rsidRPr="0025197F">
              <w:rPr>
                <w:color w:val="000000" w:themeColor="text1"/>
                <w:sz w:val="22"/>
                <w:lang w:val="es-ES_tradnl"/>
              </w:rPr>
              <w:t xml:space="preserve">El cambio de administración de </w:t>
            </w:r>
            <w:r w:rsidR="0025197F">
              <w:rPr>
                <w:color w:val="000000" w:themeColor="text1"/>
                <w:sz w:val="22"/>
                <w:lang w:val="es-ES_tradnl"/>
              </w:rPr>
              <w:t>G</w:t>
            </w:r>
            <w:r w:rsidRPr="0025197F">
              <w:rPr>
                <w:color w:val="000000" w:themeColor="text1"/>
                <w:sz w:val="22"/>
                <w:lang w:val="es-ES_tradnl"/>
              </w:rPr>
              <w:t xml:space="preserve">obierno </w:t>
            </w:r>
            <w:r w:rsidR="0025197F">
              <w:rPr>
                <w:color w:val="000000" w:themeColor="text1"/>
                <w:sz w:val="22"/>
                <w:lang w:val="es-ES_tradnl"/>
              </w:rPr>
              <w:t>E</w:t>
            </w:r>
            <w:r w:rsidRPr="0025197F">
              <w:rPr>
                <w:color w:val="000000" w:themeColor="text1"/>
                <w:sz w:val="22"/>
                <w:lang w:val="es-ES_tradnl"/>
              </w:rPr>
              <w:t>statal y la posible reestructuración de acciones que no permita el seguimiento de las buenas prácticas.</w:t>
            </w:r>
          </w:p>
          <w:p w:rsidR="00E35549" w:rsidRPr="0025197F" w:rsidRDefault="00E35549" w:rsidP="00E35549">
            <w:pPr>
              <w:pStyle w:val="Prrafodelista"/>
              <w:spacing w:after="0" w:line="240" w:lineRule="auto"/>
              <w:ind w:left="370" w:firstLine="0"/>
              <w:rPr>
                <w:color w:val="000000" w:themeColor="text1"/>
                <w:sz w:val="22"/>
                <w:lang w:val="es-ES_tradnl"/>
              </w:rPr>
            </w:pPr>
          </w:p>
        </w:tc>
      </w:tr>
    </w:tbl>
    <w:p w:rsidR="00262422" w:rsidRDefault="00262422" w:rsidP="00262422">
      <w:pPr>
        <w:spacing w:after="0" w:line="240" w:lineRule="auto"/>
        <w:rPr>
          <w:color w:val="000000" w:themeColor="text1"/>
          <w:lang w:val="es-ES_tradnl"/>
        </w:rPr>
      </w:pPr>
    </w:p>
    <w:tbl>
      <w:tblPr>
        <w:tblW w:w="9067" w:type="dxa"/>
        <w:tblCellMar>
          <w:left w:w="70" w:type="dxa"/>
          <w:right w:w="70" w:type="dxa"/>
        </w:tblCellMar>
        <w:tblLook w:val="04A0" w:firstRow="1" w:lastRow="0" w:firstColumn="1" w:lastColumn="0" w:noHBand="0" w:noVBand="1"/>
      </w:tblPr>
      <w:tblGrid>
        <w:gridCol w:w="9067"/>
      </w:tblGrid>
      <w:tr w:rsidR="00262422" w:rsidRPr="005F768B" w:rsidTr="003C47E2">
        <w:trPr>
          <w:trHeight w:val="20"/>
        </w:trPr>
        <w:tc>
          <w:tcPr>
            <w:tcW w:w="9067" w:type="dxa"/>
            <w:tcBorders>
              <w:top w:val="single" w:sz="4" w:space="0" w:color="auto"/>
              <w:left w:val="single" w:sz="4" w:space="0" w:color="auto"/>
              <w:bottom w:val="single" w:sz="4" w:space="0" w:color="auto"/>
              <w:right w:val="single" w:sz="4" w:space="0" w:color="auto"/>
            </w:tcBorders>
            <w:shd w:val="clear" w:color="000000" w:fill="808080"/>
            <w:vAlign w:val="center"/>
            <w:hideMark/>
          </w:tcPr>
          <w:p w:rsidR="00262422" w:rsidRPr="005F768B" w:rsidRDefault="00262422" w:rsidP="00A30333">
            <w:pPr>
              <w:spacing w:after="0" w:line="240" w:lineRule="auto"/>
              <w:ind w:left="0" w:firstLine="0"/>
              <w:jc w:val="center"/>
              <w:rPr>
                <w:rFonts w:eastAsia="Times New Roman"/>
                <w:b/>
                <w:bCs/>
                <w:sz w:val="22"/>
              </w:rPr>
            </w:pPr>
            <w:r w:rsidRPr="0061770E">
              <w:rPr>
                <w:rFonts w:eastAsia="Times New Roman"/>
                <w:b/>
                <w:bCs/>
                <w:color w:val="FFFFFF" w:themeColor="background1"/>
                <w:sz w:val="22"/>
                <w:lang w:val="es-ES_tradnl"/>
              </w:rPr>
              <w:t>CONCLUSIONES Y RECOMENDACIONES DE LA EVALUACIÓN</w:t>
            </w:r>
          </w:p>
        </w:tc>
      </w:tr>
      <w:tr w:rsidR="00262422" w:rsidRPr="005F768B" w:rsidTr="003C47E2">
        <w:trPr>
          <w:trHeight w:val="20"/>
        </w:trPr>
        <w:tc>
          <w:tcPr>
            <w:tcW w:w="9067" w:type="dxa"/>
            <w:tcBorders>
              <w:top w:val="nil"/>
              <w:left w:val="single" w:sz="4" w:space="0" w:color="auto"/>
              <w:bottom w:val="single" w:sz="4" w:space="0" w:color="auto"/>
              <w:right w:val="single" w:sz="4" w:space="0" w:color="auto"/>
            </w:tcBorders>
            <w:shd w:val="clear" w:color="auto" w:fill="auto"/>
            <w:vAlign w:val="center"/>
            <w:hideMark/>
          </w:tcPr>
          <w:p w:rsidR="00FC7E2E" w:rsidRDefault="00262422" w:rsidP="00A30333">
            <w:pPr>
              <w:spacing w:after="0" w:line="240" w:lineRule="auto"/>
              <w:ind w:left="0" w:firstLine="0"/>
              <w:rPr>
                <w:rFonts w:eastAsia="Times New Roman"/>
                <w:b/>
                <w:bCs/>
                <w:color w:val="000000" w:themeColor="text1"/>
                <w:sz w:val="22"/>
                <w:lang w:val="es-ES_tradnl"/>
              </w:rPr>
            </w:pPr>
            <w:r w:rsidRPr="0061770E">
              <w:rPr>
                <w:rFonts w:eastAsia="Times New Roman"/>
                <w:b/>
                <w:bCs/>
                <w:color w:val="000000" w:themeColor="text1"/>
                <w:sz w:val="22"/>
                <w:lang w:val="es-ES_tradnl"/>
              </w:rPr>
              <w:t>3.1. Describir brevemente las conclusiones de la evaluación:</w:t>
            </w:r>
          </w:p>
          <w:p w:rsidR="00262422" w:rsidRDefault="00262422" w:rsidP="00A30333">
            <w:pPr>
              <w:spacing w:after="0" w:line="240" w:lineRule="auto"/>
              <w:ind w:left="0" w:firstLine="0"/>
              <w:rPr>
                <w:rFonts w:eastAsia="Times New Roman"/>
                <w:color w:val="000000" w:themeColor="text1"/>
                <w:sz w:val="22"/>
                <w:lang w:val="es-ES_tradnl"/>
              </w:rPr>
            </w:pPr>
            <w:r w:rsidRPr="0061770E">
              <w:rPr>
                <w:rFonts w:eastAsia="Times New Roman"/>
                <w:b/>
                <w:bCs/>
                <w:color w:val="000000" w:themeColor="text1"/>
                <w:sz w:val="22"/>
                <w:lang w:val="es-ES_tradnl"/>
              </w:rPr>
              <w:br/>
            </w:r>
            <w:r w:rsidRPr="005F768B">
              <w:rPr>
                <w:rFonts w:eastAsia="Times New Roman"/>
                <w:color w:val="000000" w:themeColor="text1"/>
                <w:sz w:val="22"/>
                <w:lang w:val="es-ES_tradnl"/>
              </w:rPr>
              <w:t xml:space="preserve">La Estrategia de Transparencia Gubernamental ha tenido resultados favorables durante toda su implementación. En primer lugar, se observa un alto grado de eficacia en todos sus indicadores, así como una tendencia positiva en la mayoría de ellos. </w:t>
            </w:r>
            <w:r w:rsidRPr="005F768B">
              <w:rPr>
                <w:rFonts w:eastAsia="Times New Roman"/>
                <w:color w:val="000000" w:themeColor="text1"/>
                <w:sz w:val="22"/>
                <w:lang w:val="es-ES_tradnl"/>
              </w:rPr>
              <w:br/>
              <w:t xml:space="preserve">En segundo lugar, las acciones y servicios que forman parte de la Estrategia de Transparencia Gubernamental han traído avances para el </w:t>
            </w:r>
            <w:r>
              <w:rPr>
                <w:rFonts w:eastAsia="Times New Roman"/>
                <w:color w:val="000000" w:themeColor="text1"/>
                <w:sz w:val="22"/>
                <w:lang w:val="es-ES_tradnl"/>
              </w:rPr>
              <w:t>Gobierno del Estado de Oaxaca</w:t>
            </w:r>
            <w:r w:rsidRPr="005F768B">
              <w:rPr>
                <w:rFonts w:eastAsia="Times New Roman"/>
                <w:color w:val="000000" w:themeColor="text1"/>
                <w:sz w:val="22"/>
                <w:lang w:val="es-ES_tradnl"/>
              </w:rPr>
              <w:t xml:space="preserve"> en materia de Transparencia. Respecto a la incidencia, la mayoría de las instancias con obligaciones en la materia, reconocen la labor de la Secretaría de la Contraloría y </w:t>
            </w:r>
            <w:r w:rsidRPr="005F768B">
              <w:rPr>
                <w:rFonts w:eastAsia="Times New Roman"/>
                <w:color w:val="000000" w:themeColor="text1"/>
                <w:sz w:val="22"/>
                <w:lang w:val="es-ES_tradnl"/>
              </w:rPr>
              <w:lastRenderedPageBreak/>
              <w:t xml:space="preserve">Transparencia Gubernamental para unificar las acciones de transparencia en la entidad y fortalecer sus capacidades. </w:t>
            </w:r>
          </w:p>
          <w:p w:rsidR="00262422" w:rsidRDefault="00262422" w:rsidP="00A30333">
            <w:pPr>
              <w:spacing w:after="0" w:line="240" w:lineRule="auto"/>
              <w:ind w:left="0" w:firstLine="0"/>
              <w:rPr>
                <w:rFonts w:eastAsia="Times New Roman"/>
                <w:color w:val="000000" w:themeColor="text1"/>
                <w:sz w:val="22"/>
                <w:lang w:val="es-ES_tradnl"/>
              </w:rPr>
            </w:pPr>
            <w:r w:rsidRPr="005F768B">
              <w:rPr>
                <w:rFonts w:eastAsia="Times New Roman"/>
                <w:color w:val="000000" w:themeColor="text1"/>
                <w:sz w:val="22"/>
                <w:lang w:val="es-ES_tradnl"/>
              </w:rPr>
              <w:t xml:space="preserve">La Estrategia de Transparencia Gubernamental </w:t>
            </w:r>
            <w:r>
              <w:rPr>
                <w:rFonts w:eastAsia="Times New Roman"/>
                <w:color w:val="000000" w:themeColor="text1"/>
                <w:sz w:val="22"/>
                <w:lang w:val="es-ES_tradnl"/>
              </w:rPr>
              <w:t>es</w:t>
            </w:r>
            <w:r w:rsidRPr="005F768B">
              <w:rPr>
                <w:rFonts w:eastAsia="Times New Roman"/>
                <w:color w:val="000000" w:themeColor="text1"/>
                <w:sz w:val="22"/>
                <w:lang w:val="es-ES_tradnl"/>
              </w:rPr>
              <w:t xml:space="preserve"> coheren</w:t>
            </w:r>
            <w:r>
              <w:rPr>
                <w:rFonts w:eastAsia="Times New Roman"/>
                <w:color w:val="000000" w:themeColor="text1"/>
                <w:sz w:val="22"/>
                <w:lang w:val="es-ES_tradnl"/>
              </w:rPr>
              <w:t>te con</w:t>
            </w:r>
            <w:r w:rsidRPr="005F768B">
              <w:rPr>
                <w:rFonts w:eastAsia="Times New Roman"/>
                <w:color w:val="000000" w:themeColor="text1"/>
                <w:sz w:val="22"/>
                <w:lang w:val="es-ES_tradnl"/>
              </w:rPr>
              <w:t xml:space="preserve"> las acciones de transparencia, combate a la corrupción y protección de datos personales que implementa la entidad. </w:t>
            </w:r>
            <w:r>
              <w:rPr>
                <w:rFonts w:eastAsia="Times New Roman"/>
                <w:color w:val="000000" w:themeColor="text1"/>
                <w:sz w:val="22"/>
                <w:lang w:val="es-ES_tradnl"/>
              </w:rPr>
              <w:t xml:space="preserve">Se requiere </w:t>
            </w:r>
            <w:r w:rsidRPr="005F768B">
              <w:rPr>
                <w:rFonts w:eastAsia="Times New Roman"/>
                <w:color w:val="000000" w:themeColor="text1"/>
                <w:sz w:val="22"/>
                <w:lang w:val="es-ES_tradnl"/>
              </w:rPr>
              <w:t>fortalecer su difusión para que además de conocer sus acciones aisladas, los sujetos obligados sean conscientes también del marco general en el que se circunscriben.</w:t>
            </w:r>
          </w:p>
          <w:p w:rsidR="002119C6" w:rsidRPr="002119C6" w:rsidRDefault="002119C6" w:rsidP="002119C6">
            <w:pPr>
              <w:spacing w:after="0" w:line="240" w:lineRule="auto"/>
              <w:ind w:left="0" w:firstLine="0"/>
              <w:rPr>
                <w:rFonts w:eastAsia="Times New Roman"/>
                <w:color w:val="000000" w:themeColor="text1"/>
                <w:sz w:val="22"/>
                <w:lang w:val="es-ES_tradnl"/>
              </w:rPr>
            </w:pPr>
            <w:r w:rsidRPr="002119C6">
              <w:rPr>
                <w:rFonts w:eastAsia="Times New Roman"/>
                <w:color w:val="000000" w:themeColor="text1"/>
                <w:sz w:val="22"/>
                <w:lang w:val="es-ES_tradnl"/>
              </w:rPr>
              <w:t>A partir de los criterios definidos para valorar la Estrategia de Transparencia Gubernamental</w:t>
            </w:r>
          </w:p>
          <w:p w:rsidR="002119C6" w:rsidRDefault="002119C6" w:rsidP="002119C6">
            <w:pPr>
              <w:spacing w:after="0" w:line="240" w:lineRule="auto"/>
              <w:ind w:left="0" w:firstLine="0"/>
              <w:rPr>
                <w:rFonts w:eastAsia="Times New Roman"/>
                <w:color w:val="000000" w:themeColor="text1"/>
                <w:sz w:val="22"/>
                <w:lang w:val="es-ES_tradnl"/>
              </w:rPr>
            </w:pPr>
            <w:r w:rsidRPr="002119C6">
              <w:rPr>
                <w:rFonts w:eastAsia="Times New Roman"/>
                <w:color w:val="000000" w:themeColor="text1"/>
                <w:sz w:val="22"/>
                <w:lang w:val="es-ES_tradnl"/>
              </w:rPr>
              <w:t>(ETG), se identificó que cumple con los criterios mínimo</w:t>
            </w:r>
            <w:r>
              <w:rPr>
                <w:rFonts w:eastAsia="Times New Roman"/>
                <w:color w:val="000000" w:themeColor="text1"/>
                <w:sz w:val="22"/>
                <w:lang w:val="es-ES_tradnl"/>
              </w:rPr>
              <w:t xml:space="preserve">s establecidos y pueden existir </w:t>
            </w:r>
            <w:r w:rsidRPr="002119C6">
              <w:rPr>
                <w:rFonts w:eastAsia="Times New Roman"/>
                <w:color w:val="000000" w:themeColor="text1"/>
                <w:sz w:val="22"/>
                <w:lang w:val="es-ES_tradnl"/>
              </w:rPr>
              <w:t>algunas oportunidades de mejora para ayudar a fortalece</w:t>
            </w:r>
            <w:r>
              <w:rPr>
                <w:rFonts w:eastAsia="Times New Roman"/>
                <w:color w:val="000000" w:themeColor="text1"/>
                <w:sz w:val="22"/>
                <w:lang w:val="es-ES_tradnl"/>
              </w:rPr>
              <w:t xml:space="preserve">rla. Se ha asignado una </w:t>
            </w:r>
            <w:r w:rsidRPr="002119C6">
              <w:rPr>
                <w:rFonts w:eastAsia="Times New Roman"/>
                <w:color w:val="000000" w:themeColor="text1"/>
                <w:sz w:val="22"/>
                <w:lang w:val="es-ES_tradnl"/>
              </w:rPr>
              <w:t>valoración numérica ponderada, en la que la ETG alcanzó una</w:t>
            </w:r>
            <w:r>
              <w:rPr>
                <w:rFonts w:eastAsia="Times New Roman"/>
                <w:color w:val="000000" w:themeColor="text1"/>
                <w:sz w:val="22"/>
                <w:lang w:val="es-ES_tradnl"/>
              </w:rPr>
              <w:t xml:space="preserve"> puntuación de 29 de 30 puntos, </w:t>
            </w:r>
            <w:r w:rsidRPr="002119C6">
              <w:rPr>
                <w:rFonts w:eastAsia="Times New Roman"/>
                <w:color w:val="000000" w:themeColor="text1"/>
                <w:sz w:val="22"/>
                <w:lang w:val="es-ES_tradnl"/>
              </w:rPr>
              <w:t>lo que representa un nivel de cumplimiento de 96.6%.</w:t>
            </w:r>
          </w:p>
          <w:p w:rsidR="002119C6" w:rsidRPr="005F768B" w:rsidRDefault="002119C6" w:rsidP="00A30333">
            <w:pPr>
              <w:spacing w:after="0" w:line="240" w:lineRule="auto"/>
              <w:ind w:left="0" w:firstLine="0"/>
              <w:rPr>
                <w:rFonts w:eastAsia="Times New Roman"/>
                <w:sz w:val="22"/>
              </w:rPr>
            </w:pPr>
          </w:p>
        </w:tc>
      </w:tr>
      <w:tr w:rsidR="00262422" w:rsidRPr="005F768B" w:rsidTr="009D5447">
        <w:trPr>
          <w:trHeight w:val="20"/>
        </w:trPr>
        <w:tc>
          <w:tcPr>
            <w:tcW w:w="9067" w:type="dxa"/>
            <w:tcBorders>
              <w:top w:val="nil"/>
              <w:left w:val="single" w:sz="4" w:space="0" w:color="auto"/>
              <w:bottom w:val="single" w:sz="4" w:space="0" w:color="auto"/>
              <w:right w:val="single" w:sz="4" w:space="0" w:color="auto"/>
            </w:tcBorders>
            <w:shd w:val="clear" w:color="auto" w:fill="auto"/>
            <w:vAlign w:val="center"/>
            <w:hideMark/>
          </w:tcPr>
          <w:p w:rsidR="00262422" w:rsidRPr="0061770E" w:rsidRDefault="00262422" w:rsidP="00A30333">
            <w:pPr>
              <w:spacing w:after="0" w:line="240" w:lineRule="auto"/>
              <w:ind w:left="0" w:firstLine="0"/>
              <w:rPr>
                <w:rFonts w:eastAsia="Times New Roman"/>
                <w:b/>
                <w:bCs/>
                <w:sz w:val="22"/>
              </w:rPr>
            </w:pPr>
            <w:r w:rsidRPr="0061770E">
              <w:rPr>
                <w:rFonts w:eastAsia="Times New Roman"/>
                <w:b/>
                <w:bCs/>
                <w:color w:val="000000" w:themeColor="text1"/>
                <w:sz w:val="22"/>
                <w:lang w:val="es-ES_tradnl"/>
              </w:rPr>
              <w:lastRenderedPageBreak/>
              <w:t>3.2 Describir las recomendaciones de acuerdo con su relevancia:</w:t>
            </w:r>
          </w:p>
        </w:tc>
      </w:tr>
      <w:tr w:rsidR="00262422" w:rsidRPr="005F768B" w:rsidTr="009D5447">
        <w:trPr>
          <w:trHeight w:val="20"/>
        </w:trPr>
        <w:tc>
          <w:tcPr>
            <w:tcW w:w="9067" w:type="dxa"/>
            <w:tcBorders>
              <w:top w:val="single" w:sz="4" w:space="0" w:color="auto"/>
              <w:left w:val="single" w:sz="4" w:space="0" w:color="auto"/>
              <w:right w:val="single" w:sz="4" w:space="0" w:color="auto"/>
            </w:tcBorders>
            <w:shd w:val="clear" w:color="auto" w:fill="auto"/>
            <w:vAlign w:val="center"/>
            <w:hideMark/>
          </w:tcPr>
          <w:p w:rsidR="00262422" w:rsidRPr="0061770E" w:rsidRDefault="00262422" w:rsidP="00A30333">
            <w:pPr>
              <w:spacing w:after="0" w:line="240" w:lineRule="auto"/>
              <w:ind w:left="0" w:firstLine="0"/>
              <w:rPr>
                <w:rFonts w:eastAsia="Times New Roman"/>
                <w:sz w:val="22"/>
              </w:rPr>
            </w:pPr>
            <w:r>
              <w:rPr>
                <w:color w:val="000000" w:themeColor="text1"/>
                <w:sz w:val="22"/>
                <w:szCs w:val="16"/>
                <w:lang w:val="es-ES_tradnl"/>
              </w:rPr>
              <w:t xml:space="preserve">1. </w:t>
            </w:r>
            <w:r w:rsidRPr="0061770E">
              <w:rPr>
                <w:color w:val="000000" w:themeColor="text1"/>
                <w:sz w:val="22"/>
                <w:szCs w:val="16"/>
                <w:lang w:val="es-ES_tradnl"/>
              </w:rPr>
              <w:t>Definir la problemática de la ETG, a partir del siguiente esquema: Población o área de enfoque que lo padece + área geográfica donde se ubica esa población o área de enfoque + situación problemática; y asegurar que sea la misma en el documento de la ETG y la MIR del programa presupuestario 165.</w:t>
            </w:r>
          </w:p>
        </w:tc>
      </w:tr>
      <w:tr w:rsidR="00262422" w:rsidRPr="005F768B" w:rsidTr="009D5447">
        <w:trPr>
          <w:trHeight w:val="20"/>
        </w:trPr>
        <w:tc>
          <w:tcPr>
            <w:tcW w:w="9067" w:type="dxa"/>
            <w:tcBorders>
              <w:top w:val="nil"/>
              <w:left w:val="single" w:sz="4" w:space="0" w:color="auto"/>
              <w:right w:val="single" w:sz="4" w:space="0" w:color="auto"/>
            </w:tcBorders>
            <w:shd w:val="clear" w:color="auto" w:fill="auto"/>
            <w:vAlign w:val="center"/>
            <w:hideMark/>
          </w:tcPr>
          <w:p w:rsidR="00262422" w:rsidRPr="0061770E" w:rsidRDefault="00262422" w:rsidP="00A30333">
            <w:pPr>
              <w:spacing w:after="0" w:line="240" w:lineRule="auto"/>
              <w:ind w:left="0" w:firstLine="0"/>
              <w:rPr>
                <w:rFonts w:eastAsia="Times New Roman"/>
                <w:sz w:val="22"/>
              </w:rPr>
            </w:pPr>
            <w:r>
              <w:rPr>
                <w:rFonts w:eastAsia="Times New Roman"/>
                <w:color w:val="000000" w:themeColor="text1"/>
                <w:sz w:val="22"/>
                <w:szCs w:val="16"/>
                <w:lang w:val="es-ES_tradnl"/>
              </w:rPr>
              <w:t xml:space="preserve">2. </w:t>
            </w:r>
            <w:r w:rsidRPr="0061770E">
              <w:rPr>
                <w:rFonts w:eastAsia="Times New Roman"/>
                <w:color w:val="000000" w:themeColor="text1"/>
                <w:sz w:val="22"/>
                <w:szCs w:val="16"/>
                <w:lang w:val="es-ES_tradnl"/>
              </w:rPr>
              <w:t>Establecer metas “retadoras” que fortalezcan los componentes de la ETG. Asimismo, la meta del indicador Porcentaje de sanciones a servidores públicos a nivel propósito del programa no debería tener un valor esperado dado que su sentido esperado tendría que ser nominal.</w:t>
            </w:r>
          </w:p>
        </w:tc>
      </w:tr>
      <w:tr w:rsidR="00262422" w:rsidRPr="005F768B" w:rsidTr="009D5447">
        <w:trPr>
          <w:trHeight w:val="20"/>
        </w:trPr>
        <w:tc>
          <w:tcPr>
            <w:tcW w:w="9067" w:type="dxa"/>
            <w:tcBorders>
              <w:top w:val="nil"/>
              <w:left w:val="single" w:sz="4" w:space="0" w:color="auto"/>
              <w:right w:val="single" w:sz="4" w:space="0" w:color="auto"/>
            </w:tcBorders>
            <w:shd w:val="clear" w:color="auto" w:fill="auto"/>
            <w:vAlign w:val="center"/>
            <w:hideMark/>
          </w:tcPr>
          <w:p w:rsidR="00262422" w:rsidRPr="0061770E" w:rsidRDefault="00262422" w:rsidP="00A30333">
            <w:pPr>
              <w:spacing w:after="0" w:line="240" w:lineRule="auto"/>
              <w:ind w:left="0" w:firstLine="0"/>
              <w:rPr>
                <w:rFonts w:eastAsia="Times New Roman"/>
                <w:color w:val="000000" w:themeColor="text1"/>
                <w:sz w:val="22"/>
                <w:szCs w:val="16"/>
                <w:lang w:val="es-ES_tradnl"/>
              </w:rPr>
            </w:pPr>
            <w:r>
              <w:rPr>
                <w:rFonts w:eastAsia="Times New Roman"/>
                <w:color w:val="000000" w:themeColor="text1"/>
                <w:sz w:val="22"/>
                <w:szCs w:val="16"/>
                <w:lang w:val="es-ES_tradnl"/>
              </w:rPr>
              <w:t xml:space="preserve">3. </w:t>
            </w:r>
            <w:r w:rsidRPr="0061770E">
              <w:rPr>
                <w:rFonts w:eastAsia="Times New Roman"/>
                <w:color w:val="000000" w:themeColor="text1"/>
                <w:sz w:val="22"/>
                <w:szCs w:val="16"/>
                <w:lang w:val="es-ES_tradnl"/>
              </w:rPr>
              <w:t>En la MIR del programa 165, desagregar componentes para especificar el bien o servicio y revisar que sean diferentes de las actividades. Desagregar actividades para especificar en qué consisten.</w:t>
            </w:r>
          </w:p>
        </w:tc>
      </w:tr>
      <w:tr w:rsidR="00262422" w:rsidRPr="005F768B" w:rsidTr="009D5447">
        <w:trPr>
          <w:trHeight w:val="20"/>
        </w:trPr>
        <w:tc>
          <w:tcPr>
            <w:tcW w:w="9067" w:type="dxa"/>
            <w:tcBorders>
              <w:top w:val="nil"/>
              <w:left w:val="single" w:sz="4" w:space="0" w:color="auto"/>
              <w:right w:val="single" w:sz="4" w:space="0" w:color="auto"/>
            </w:tcBorders>
            <w:shd w:val="clear" w:color="auto" w:fill="auto"/>
            <w:vAlign w:val="center"/>
            <w:hideMark/>
          </w:tcPr>
          <w:p w:rsidR="00262422" w:rsidRPr="0061770E" w:rsidRDefault="00262422" w:rsidP="00A30333">
            <w:pPr>
              <w:spacing w:after="0" w:line="240" w:lineRule="auto"/>
              <w:ind w:left="0" w:firstLine="0"/>
              <w:rPr>
                <w:rFonts w:eastAsia="Times New Roman"/>
                <w:sz w:val="22"/>
              </w:rPr>
            </w:pPr>
            <w:r>
              <w:rPr>
                <w:color w:val="000000" w:themeColor="text1"/>
                <w:sz w:val="22"/>
                <w:szCs w:val="16"/>
                <w:lang w:val="es-ES_tradnl"/>
              </w:rPr>
              <w:t xml:space="preserve">4. </w:t>
            </w:r>
            <w:r w:rsidRPr="0061770E">
              <w:rPr>
                <w:color w:val="000000" w:themeColor="text1"/>
                <w:sz w:val="22"/>
                <w:szCs w:val="16"/>
                <w:lang w:val="es-ES_tradnl"/>
              </w:rPr>
              <w:t>Definir en el documento de la Estrategia de Transparencia Gubernamental las funciones de cada ente público relacionado y los mecanismos específicos de coordinación entre la SCTG, la SESECC y el OGAIPO.</w:t>
            </w:r>
          </w:p>
        </w:tc>
      </w:tr>
      <w:tr w:rsidR="00262422" w:rsidRPr="005F768B" w:rsidTr="009D5447">
        <w:trPr>
          <w:trHeight w:val="20"/>
        </w:trPr>
        <w:tc>
          <w:tcPr>
            <w:tcW w:w="9067" w:type="dxa"/>
            <w:tcBorders>
              <w:top w:val="nil"/>
              <w:left w:val="single" w:sz="4" w:space="0" w:color="auto"/>
              <w:right w:val="single" w:sz="4" w:space="0" w:color="auto"/>
            </w:tcBorders>
            <w:shd w:val="clear" w:color="auto" w:fill="auto"/>
            <w:vAlign w:val="center"/>
            <w:hideMark/>
          </w:tcPr>
          <w:p w:rsidR="00262422" w:rsidRPr="0061770E" w:rsidRDefault="00262422" w:rsidP="00A30333">
            <w:pPr>
              <w:rPr>
                <w:rFonts w:eastAsia="Times New Roman"/>
                <w:lang w:val="es-ES_tradnl"/>
              </w:rPr>
            </w:pPr>
            <w:r>
              <w:rPr>
                <w:color w:val="000000" w:themeColor="text1"/>
                <w:sz w:val="22"/>
                <w:szCs w:val="16"/>
                <w:lang w:val="es-ES_tradnl"/>
              </w:rPr>
              <w:t xml:space="preserve">5. </w:t>
            </w:r>
            <w:r w:rsidRPr="00945516">
              <w:rPr>
                <w:color w:val="000000" w:themeColor="text1"/>
                <w:sz w:val="22"/>
                <w:szCs w:val="16"/>
                <w:lang w:val="es-ES_tradnl"/>
              </w:rPr>
              <w:t>Se sugiere que la SCTG cree un sitio web que sintetice toda la evidencia de la coordinación entre las unidades responsables de la implementación de la ETG, con el propósito de que sea accesible a las personas interesadas en conocerla. Además, se sugiere identificar en el documento de la ETG a las unidades responsables y describir la forma en la que participan en su implementación</w:t>
            </w:r>
            <w:r w:rsidRPr="00B60F04">
              <w:rPr>
                <w:color w:val="000000" w:themeColor="text1"/>
                <w:sz w:val="22"/>
                <w:szCs w:val="16"/>
                <w:lang w:val="es-ES_tradnl"/>
              </w:rPr>
              <w:t>.</w:t>
            </w:r>
          </w:p>
        </w:tc>
      </w:tr>
      <w:tr w:rsidR="00262422" w:rsidRPr="005F768B" w:rsidTr="009D5447">
        <w:trPr>
          <w:trHeight w:val="20"/>
        </w:trPr>
        <w:tc>
          <w:tcPr>
            <w:tcW w:w="9067" w:type="dxa"/>
            <w:tcBorders>
              <w:top w:val="nil"/>
              <w:left w:val="single" w:sz="4" w:space="0" w:color="auto"/>
              <w:right w:val="single" w:sz="4" w:space="0" w:color="auto"/>
            </w:tcBorders>
            <w:shd w:val="clear" w:color="auto" w:fill="auto"/>
            <w:vAlign w:val="center"/>
            <w:hideMark/>
          </w:tcPr>
          <w:p w:rsidR="00262422" w:rsidRPr="0061770E" w:rsidRDefault="00262422" w:rsidP="00A30333">
            <w:pPr>
              <w:spacing w:after="0" w:line="240" w:lineRule="auto"/>
              <w:ind w:left="0" w:firstLine="0"/>
              <w:rPr>
                <w:rFonts w:eastAsia="Times New Roman"/>
                <w:sz w:val="22"/>
              </w:rPr>
            </w:pPr>
            <w:r w:rsidRPr="0061770E">
              <w:rPr>
                <w:color w:val="000000" w:themeColor="text1"/>
                <w:sz w:val="22"/>
                <w:szCs w:val="16"/>
                <w:lang w:val="es-ES_tradnl"/>
              </w:rPr>
              <w:t>6.</w:t>
            </w:r>
            <w:r>
              <w:rPr>
                <w:color w:val="000000" w:themeColor="text1"/>
                <w:sz w:val="22"/>
                <w:szCs w:val="16"/>
                <w:lang w:val="es-ES_tradnl"/>
              </w:rPr>
              <w:t xml:space="preserve"> </w:t>
            </w:r>
            <w:r w:rsidRPr="00945516">
              <w:rPr>
                <w:color w:val="000000" w:themeColor="text1"/>
                <w:sz w:val="22"/>
                <w:szCs w:val="16"/>
                <w:lang w:val="es-ES_tradnl"/>
              </w:rPr>
              <w:t>Bajo la coordinación de la SCTG, crear espacio web que muestre los documentos de las acciones en conjunto, para el fortalecimiento de la ETG realizadas por la SCTG, la SESECC y el OGAIPO.</w:t>
            </w:r>
          </w:p>
        </w:tc>
      </w:tr>
      <w:tr w:rsidR="00262422" w:rsidRPr="005F768B" w:rsidTr="009D5447">
        <w:trPr>
          <w:trHeight w:val="20"/>
        </w:trPr>
        <w:tc>
          <w:tcPr>
            <w:tcW w:w="9067" w:type="dxa"/>
            <w:tcBorders>
              <w:top w:val="nil"/>
              <w:left w:val="single" w:sz="4" w:space="0" w:color="auto"/>
              <w:right w:val="single" w:sz="4" w:space="0" w:color="auto"/>
            </w:tcBorders>
            <w:shd w:val="clear" w:color="auto" w:fill="auto"/>
            <w:vAlign w:val="center"/>
            <w:hideMark/>
          </w:tcPr>
          <w:p w:rsidR="00262422" w:rsidRPr="0061770E" w:rsidRDefault="00262422" w:rsidP="00A30333">
            <w:pPr>
              <w:spacing w:after="0" w:line="240" w:lineRule="auto"/>
              <w:ind w:left="0" w:firstLine="0"/>
              <w:rPr>
                <w:color w:val="000000" w:themeColor="text1"/>
                <w:sz w:val="22"/>
                <w:szCs w:val="15"/>
                <w:lang w:val="es-ES_tradnl"/>
              </w:rPr>
            </w:pPr>
            <w:r>
              <w:rPr>
                <w:color w:val="000000" w:themeColor="text1"/>
                <w:sz w:val="22"/>
                <w:szCs w:val="15"/>
                <w:lang w:val="es-ES_tradnl"/>
              </w:rPr>
              <w:t xml:space="preserve">7. </w:t>
            </w:r>
            <w:r w:rsidRPr="0061770E">
              <w:rPr>
                <w:color w:val="000000" w:themeColor="text1"/>
                <w:sz w:val="22"/>
                <w:szCs w:val="15"/>
                <w:lang w:val="es-ES_tradnl"/>
              </w:rPr>
              <w:t xml:space="preserve">Mencionar en el documento de la </w:t>
            </w:r>
            <w:r w:rsidRPr="0061770E">
              <w:rPr>
                <w:i/>
                <w:iCs/>
                <w:color w:val="000000" w:themeColor="text1"/>
                <w:sz w:val="22"/>
                <w:szCs w:val="15"/>
                <w:lang w:val="es-ES_tradnl"/>
              </w:rPr>
              <w:t>Estrategia de Transparencia Gubernamental</w:t>
            </w:r>
            <w:r w:rsidRPr="0061770E">
              <w:rPr>
                <w:color w:val="000000" w:themeColor="text1"/>
                <w:sz w:val="22"/>
                <w:szCs w:val="15"/>
                <w:lang w:val="es-ES_tradnl"/>
              </w:rPr>
              <w:t xml:space="preserve"> la alineación con la siguiente normativa:</w:t>
            </w:r>
          </w:p>
          <w:p w:rsidR="00262422" w:rsidRPr="0061770E" w:rsidRDefault="00262422" w:rsidP="00262422">
            <w:pPr>
              <w:numPr>
                <w:ilvl w:val="0"/>
                <w:numId w:val="5"/>
              </w:numPr>
              <w:spacing w:after="0" w:line="240" w:lineRule="auto"/>
              <w:ind w:left="317" w:hanging="218"/>
              <w:rPr>
                <w:color w:val="000000" w:themeColor="text1"/>
                <w:sz w:val="22"/>
                <w:szCs w:val="15"/>
                <w:lang w:val="es-ES_tradnl"/>
              </w:rPr>
            </w:pPr>
            <w:r w:rsidRPr="0061770E">
              <w:rPr>
                <w:color w:val="000000" w:themeColor="text1"/>
                <w:sz w:val="22"/>
                <w:szCs w:val="15"/>
                <w:lang w:val="es-ES_tradnl"/>
              </w:rPr>
              <w:t>Ley de Justicia d</w:t>
            </w:r>
            <w:r>
              <w:rPr>
                <w:color w:val="000000" w:themeColor="text1"/>
                <w:sz w:val="22"/>
                <w:szCs w:val="15"/>
                <w:lang w:val="es-ES_tradnl"/>
              </w:rPr>
              <w:t>e Fiscalización y Rendición de C</w:t>
            </w:r>
            <w:r w:rsidRPr="0061770E">
              <w:rPr>
                <w:color w:val="000000" w:themeColor="text1"/>
                <w:sz w:val="22"/>
                <w:szCs w:val="15"/>
                <w:lang w:val="es-ES_tradnl"/>
              </w:rPr>
              <w:t xml:space="preserve">uentas para el </w:t>
            </w:r>
            <w:r>
              <w:rPr>
                <w:color w:val="000000" w:themeColor="text1"/>
                <w:sz w:val="22"/>
                <w:szCs w:val="15"/>
                <w:lang w:val="es-ES_tradnl"/>
              </w:rPr>
              <w:t>Estado de Oaxaca</w:t>
            </w:r>
            <w:r w:rsidRPr="0061770E">
              <w:rPr>
                <w:color w:val="000000" w:themeColor="text1"/>
                <w:sz w:val="22"/>
                <w:szCs w:val="15"/>
                <w:lang w:val="es-ES_tradnl"/>
              </w:rPr>
              <w:t>.</w:t>
            </w:r>
          </w:p>
          <w:p w:rsidR="00262422" w:rsidRPr="0061770E" w:rsidRDefault="00262422" w:rsidP="00262422">
            <w:pPr>
              <w:numPr>
                <w:ilvl w:val="0"/>
                <w:numId w:val="5"/>
              </w:numPr>
              <w:spacing w:after="0" w:line="240" w:lineRule="auto"/>
              <w:ind w:left="317" w:hanging="218"/>
              <w:rPr>
                <w:color w:val="000000" w:themeColor="text1"/>
                <w:sz w:val="22"/>
                <w:szCs w:val="15"/>
                <w:lang w:val="es-ES_tradnl"/>
              </w:rPr>
            </w:pPr>
            <w:r w:rsidRPr="0061770E">
              <w:rPr>
                <w:color w:val="000000" w:themeColor="text1"/>
                <w:sz w:val="22"/>
                <w:szCs w:val="15"/>
                <w:lang w:val="es-ES_tradnl"/>
              </w:rPr>
              <w:t xml:space="preserve">Ley de Participación Ciudadana para el </w:t>
            </w:r>
            <w:r>
              <w:rPr>
                <w:color w:val="000000" w:themeColor="text1"/>
                <w:sz w:val="22"/>
                <w:szCs w:val="15"/>
                <w:lang w:val="es-ES_tradnl"/>
              </w:rPr>
              <w:t>Estado de Oaxaca</w:t>
            </w:r>
            <w:r w:rsidRPr="0061770E">
              <w:rPr>
                <w:color w:val="000000" w:themeColor="text1"/>
                <w:sz w:val="22"/>
                <w:szCs w:val="15"/>
                <w:lang w:val="es-ES_tradnl"/>
              </w:rPr>
              <w:t xml:space="preserve">. </w:t>
            </w:r>
          </w:p>
          <w:p w:rsidR="00262422" w:rsidRPr="0061770E" w:rsidRDefault="00262422" w:rsidP="00262422">
            <w:pPr>
              <w:numPr>
                <w:ilvl w:val="0"/>
                <w:numId w:val="5"/>
              </w:numPr>
              <w:spacing w:after="0" w:line="240" w:lineRule="auto"/>
              <w:ind w:left="317" w:hanging="218"/>
              <w:rPr>
                <w:color w:val="000000" w:themeColor="text1"/>
                <w:sz w:val="22"/>
                <w:szCs w:val="15"/>
                <w:lang w:val="es-ES_tradnl"/>
              </w:rPr>
            </w:pPr>
            <w:r w:rsidRPr="0061770E">
              <w:rPr>
                <w:color w:val="000000" w:themeColor="text1"/>
                <w:sz w:val="22"/>
                <w:szCs w:val="15"/>
                <w:lang w:val="es-ES_tradnl"/>
              </w:rPr>
              <w:t xml:space="preserve">Ley de </w:t>
            </w:r>
            <w:r>
              <w:rPr>
                <w:color w:val="000000" w:themeColor="text1"/>
                <w:sz w:val="22"/>
                <w:szCs w:val="15"/>
                <w:lang w:val="es-ES_tradnl"/>
              </w:rPr>
              <w:t>P</w:t>
            </w:r>
            <w:r w:rsidRPr="0061770E">
              <w:rPr>
                <w:color w:val="000000" w:themeColor="text1"/>
                <w:sz w:val="22"/>
                <w:szCs w:val="15"/>
                <w:lang w:val="es-ES_tradnl"/>
              </w:rPr>
              <w:t xml:space="preserve">rocedimientos y </w:t>
            </w:r>
            <w:r>
              <w:rPr>
                <w:color w:val="000000" w:themeColor="text1"/>
                <w:sz w:val="22"/>
                <w:szCs w:val="15"/>
                <w:lang w:val="es-ES_tradnl"/>
              </w:rPr>
              <w:t>J</w:t>
            </w:r>
            <w:r w:rsidRPr="0061770E">
              <w:rPr>
                <w:color w:val="000000" w:themeColor="text1"/>
                <w:sz w:val="22"/>
                <w:szCs w:val="15"/>
                <w:lang w:val="es-ES_tradnl"/>
              </w:rPr>
              <w:t xml:space="preserve">usticia </w:t>
            </w:r>
            <w:r>
              <w:rPr>
                <w:color w:val="000000" w:themeColor="text1"/>
                <w:sz w:val="22"/>
                <w:szCs w:val="15"/>
                <w:lang w:val="es-ES_tradnl"/>
              </w:rPr>
              <w:t>A</w:t>
            </w:r>
            <w:r w:rsidRPr="0061770E">
              <w:rPr>
                <w:color w:val="000000" w:themeColor="text1"/>
                <w:sz w:val="22"/>
                <w:szCs w:val="15"/>
                <w:lang w:val="es-ES_tradnl"/>
              </w:rPr>
              <w:t xml:space="preserve">dministrativa para el </w:t>
            </w:r>
            <w:r>
              <w:rPr>
                <w:color w:val="000000" w:themeColor="text1"/>
                <w:sz w:val="22"/>
                <w:szCs w:val="15"/>
                <w:lang w:val="es-ES_tradnl"/>
              </w:rPr>
              <w:t>Estado de Oaxaca</w:t>
            </w:r>
            <w:r w:rsidRPr="0061770E">
              <w:rPr>
                <w:color w:val="000000" w:themeColor="text1"/>
                <w:sz w:val="22"/>
                <w:szCs w:val="15"/>
                <w:lang w:val="es-ES_tradnl"/>
              </w:rPr>
              <w:t xml:space="preserve">. </w:t>
            </w:r>
          </w:p>
          <w:p w:rsidR="00262422" w:rsidRDefault="00262422" w:rsidP="00262422">
            <w:pPr>
              <w:numPr>
                <w:ilvl w:val="0"/>
                <w:numId w:val="5"/>
              </w:numPr>
              <w:spacing w:after="0" w:line="240" w:lineRule="auto"/>
              <w:ind w:left="317" w:hanging="218"/>
              <w:rPr>
                <w:color w:val="000000" w:themeColor="text1"/>
                <w:sz w:val="22"/>
                <w:szCs w:val="15"/>
                <w:lang w:val="es-ES_tradnl"/>
              </w:rPr>
            </w:pPr>
            <w:r w:rsidRPr="0061770E">
              <w:rPr>
                <w:color w:val="000000" w:themeColor="text1"/>
                <w:sz w:val="22"/>
                <w:szCs w:val="15"/>
                <w:lang w:val="es-ES_tradnl"/>
              </w:rPr>
              <w:t xml:space="preserve">Ley de </w:t>
            </w:r>
            <w:r>
              <w:rPr>
                <w:color w:val="000000" w:themeColor="text1"/>
                <w:sz w:val="22"/>
                <w:szCs w:val="15"/>
                <w:lang w:val="es-ES_tradnl"/>
              </w:rPr>
              <w:t>R</w:t>
            </w:r>
            <w:r w:rsidRPr="0061770E">
              <w:rPr>
                <w:color w:val="000000" w:themeColor="text1"/>
                <w:sz w:val="22"/>
                <w:szCs w:val="15"/>
                <w:lang w:val="es-ES_tradnl"/>
              </w:rPr>
              <w:t xml:space="preserve">esponsabilidades </w:t>
            </w:r>
            <w:r>
              <w:rPr>
                <w:color w:val="000000" w:themeColor="text1"/>
                <w:sz w:val="22"/>
                <w:szCs w:val="15"/>
                <w:lang w:val="es-ES_tradnl"/>
              </w:rPr>
              <w:t>A</w:t>
            </w:r>
            <w:r w:rsidRPr="0061770E">
              <w:rPr>
                <w:color w:val="000000" w:themeColor="text1"/>
                <w:sz w:val="22"/>
                <w:szCs w:val="15"/>
                <w:lang w:val="es-ES_tradnl"/>
              </w:rPr>
              <w:t xml:space="preserve">dministrativas del </w:t>
            </w:r>
            <w:r>
              <w:rPr>
                <w:color w:val="000000" w:themeColor="text1"/>
                <w:sz w:val="22"/>
                <w:szCs w:val="15"/>
                <w:lang w:val="es-ES_tradnl"/>
              </w:rPr>
              <w:t>E</w:t>
            </w:r>
            <w:r w:rsidRPr="0061770E">
              <w:rPr>
                <w:color w:val="000000" w:themeColor="text1"/>
                <w:sz w:val="22"/>
                <w:szCs w:val="15"/>
                <w:lang w:val="es-ES_tradnl"/>
              </w:rPr>
              <w:t xml:space="preserve">stado y </w:t>
            </w:r>
            <w:r>
              <w:rPr>
                <w:color w:val="000000" w:themeColor="text1"/>
                <w:sz w:val="22"/>
                <w:szCs w:val="15"/>
                <w:lang w:val="es-ES_tradnl"/>
              </w:rPr>
              <w:t>M</w:t>
            </w:r>
            <w:r w:rsidRPr="0061770E">
              <w:rPr>
                <w:color w:val="000000" w:themeColor="text1"/>
                <w:sz w:val="22"/>
                <w:szCs w:val="15"/>
                <w:lang w:val="es-ES_tradnl"/>
              </w:rPr>
              <w:t xml:space="preserve">unicipios de Oaxaca. </w:t>
            </w:r>
          </w:p>
          <w:p w:rsidR="00262422" w:rsidRPr="0061770E" w:rsidRDefault="00262422" w:rsidP="00262422">
            <w:pPr>
              <w:numPr>
                <w:ilvl w:val="0"/>
                <w:numId w:val="5"/>
              </w:numPr>
              <w:spacing w:after="0" w:line="240" w:lineRule="auto"/>
              <w:ind w:left="317" w:hanging="218"/>
              <w:rPr>
                <w:color w:val="000000" w:themeColor="text1"/>
                <w:sz w:val="22"/>
                <w:szCs w:val="15"/>
                <w:lang w:val="es-ES_tradnl"/>
              </w:rPr>
            </w:pPr>
            <w:r w:rsidRPr="0061770E">
              <w:rPr>
                <w:color w:val="000000" w:themeColor="text1"/>
                <w:sz w:val="22"/>
                <w:szCs w:val="15"/>
                <w:lang w:val="es-ES_tradnl"/>
              </w:rPr>
              <w:t xml:space="preserve">Ley de </w:t>
            </w:r>
            <w:r>
              <w:rPr>
                <w:color w:val="000000" w:themeColor="text1"/>
                <w:sz w:val="22"/>
                <w:szCs w:val="15"/>
                <w:lang w:val="es-ES_tradnl"/>
              </w:rPr>
              <w:t>T</w:t>
            </w:r>
            <w:r w:rsidRPr="0061770E">
              <w:rPr>
                <w:color w:val="000000" w:themeColor="text1"/>
                <w:sz w:val="22"/>
                <w:szCs w:val="15"/>
                <w:lang w:val="es-ES_tradnl"/>
              </w:rPr>
              <w:t xml:space="preserve">ransparencia y </w:t>
            </w:r>
            <w:r>
              <w:rPr>
                <w:color w:val="000000" w:themeColor="text1"/>
                <w:sz w:val="22"/>
                <w:szCs w:val="15"/>
                <w:lang w:val="es-ES_tradnl"/>
              </w:rPr>
              <w:t>A</w:t>
            </w:r>
            <w:r w:rsidRPr="0061770E">
              <w:rPr>
                <w:color w:val="000000" w:themeColor="text1"/>
                <w:sz w:val="22"/>
                <w:szCs w:val="15"/>
                <w:lang w:val="es-ES_tradnl"/>
              </w:rPr>
              <w:t xml:space="preserve">cceso a la </w:t>
            </w:r>
            <w:r>
              <w:rPr>
                <w:color w:val="000000" w:themeColor="text1"/>
                <w:sz w:val="22"/>
                <w:szCs w:val="15"/>
                <w:lang w:val="es-ES_tradnl"/>
              </w:rPr>
              <w:t>I</w:t>
            </w:r>
            <w:r w:rsidRPr="0061770E">
              <w:rPr>
                <w:color w:val="000000" w:themeColor="text1"/>
                <w:sz w:val="22"/>
                <w:szCs w:val="15"/>
                <w:lang w:val="es-ES_tradnl"/>
              </w:rPr>
              <w:t xml:space="preserve">nformación </w:t>
            </w:r>
            <w:r>
              <w:rPr>
                <w:color w:val="000000" w:themeColor="text1"/>
                <w:sz w:val="22"/>
                <w:szCs w:val="15"/>
                <w:lang w:val="es-ES_tradnl"/>
              </w:rPr>
              <w:t>P</w:t>
            </w:r>
            <w:r w:rsidRPr="0061770E">
              <w:rPr>
                <w:color w:val="000000" w:themeColor="text1"/>
                <w:sz w:val="22"/>
                <w:szCs w:val="15"/>
                <w:lang w:val="es-ES_tradnl"/>
              </w:rPr>
              <w:t xml:space="preserve">ública y </w:t>
            </w:r>
            <w:r>
              <w:rPr>
                <w:color w:val="000000" w:themeColor="text1"/>
                <w:sz w:val="22"/>
                <w:szCs w:val="15"/>
                <w:lang w:val="es-ES_tradnl"/>
              </w:rPr>
              <w:t>B</w:t>
            </w:r>
            <w:r w:rsidRPr="0061770E">
              <w:rPr>
                <w:color w:val="000000" w:themeColor="text1"/>
                <w:sz w:val="22"/>
                <w:szCs w:val="15"/>
                <w:lang w:val="es-ES_tradnl"/>
              </w:rPr>
              <w:t xml:space="preserve">uen </w:t>
            </w:r>
            <w:r>
              <w:rPr>
                <w:color w:val="000000" w:themeColor="text1"/>
                <w:sz w:val="22"/>
                <w:szCs w:val="15"/>
                <w:lang w:val="es-ES_tradnl"/>
              </w:rPr>
              <w:t>Gobierno del Estado de Oaxaca</w:t>
            </w:r>
            <w:r w:rsidRPr="0061770E">
              <w:rPr>
                <w:color w:val="000000" w:themeColor="text1"/>
                <w:sz w:val="22"/>
                <w:szCs w:val="15"/>
                <w:lang w:val="es-ES_tradnl"/>
              </w:rPr>
              <w:t>.</w:t>
            </w:r>
          </w:p>
        </w:tc>
      </w:tr>
      <w:tr w:rsidR="00262422" w:rsidRPr="005F768B" w:rsidTr="009D5447">
        <w:trPr>
          <w:trHeight w:val="20"/>
        </w:trPr>
        <w:tc>
          <w:tcPr>
            <w:tcW w:w="9067" w:type="dxa"/>
            <w:tcBorders>
              <w:top w:val="nil"/>
              <w:left w:val="single" w:sz="4" w:space="0" w:color="auto"/>
              <w:right w:val="single" w:sz="4" w:space="0" w:color="auto"/>
            </w:tcBorders>
            <w:shd w:val="clear" w:color="auto" w:fill="auto"/>
            <w:vAlign w:val="center"/>
            <w:hideMark/>
          </w:tcPr>
          <w:p w:rsidR="00262422" w:rsidRPr="0061770E" w:rsidRDefault="00327392" w:rsidP="00A30333">
            <w:pPr>
              <w:spacing w:after="0" w:line="240" w:lineRule="auto"/>
              <w:ind w:left="0" w:firstLine="0"/>
              <w:rPr>
                <w:rFonts w:eastAsia="Times New Roman"/>
                <w:sz w:val="22"/>
              </w:rPr>
            </w:pPr>
            <w:r>
              <w:rPr>
                <w:rFonts w:eastAsia="Times New Roman"/>
                <w:color w:val="000000" w:themeColor="text1"/>
                <w:sz w:val="22"/>
                <w:szCs w:val="16"/>
                <w:lang w:val="es-ES_tradnl"/>
              </w:rPr>
              <w:t>8</w:t>
            </w:r>
            <w:r w:rsidR="00262422">
              <w:rPr>
                <w:rFonts w:eastAsia="Times New Roman"/>
                <w:color w:val="000000" w:themeColor="text1"/>
                <w:sz w:val="22"/>
                <w:szCs w:val="16"/>
                <w:lang w:val="es-ES_tradnl"/>
              </w:rPr>
              <w:t xml:space="preserve">. </w:t>
            </w:r>
            <w:r w:rsidR="00262422" w:rsidRPr="0061770E">
              <w:rPr>
                <w:rFonts w:eastAsia="Times New Roman"/>
                <w:color w:val="000000" w:themeColor="text1"/>
                <w:sz w:val="22"/>
                <w:szCs w:val="16"/>
                <w:lang w:val="es-ES_tradnl"/>
              </w:rPr>
              <w:t>Actualizar las poblaciones potenciales y armonizar las poblaciones objetivos del programa 165 y de la ETG, para que contengan los mismos datos.</w:t>
            </w:r>
          </w:p>
        </w:tc>
      </w:tr>
      <w:tr w:rsidR="00262422" w:rsidRPr="005F768B" w:rsidTr="009D5447">
        <w:trPr>
          <w:trHeight w:val="20"/>
        </w:trPr>
        <w:tc>
          <w:tcPr>
            <w:tcW w:w="9067" w:type="dxa"/>
            <w:tcBorders>
              <w:left w:val="single" w:sz="4" w:space="0" w:color="auto"/>
              <w:right w:val="single" w:sz="4" w:space="0" w:color="auto"/>
            </w:tcBorders>
            <w:shd w:val="clear" w:color="auto" w:fill="auto"/>
            <w:vAlign w:val="center"/>
            <w:hideMark/>
          </w:tcPr>
          <w:p w:rsidR="00262422" w:rsidRPr="0061770E" w:rsidRDefault="00327392" w:rsidP="00A30333">
            <w:pPr>
              <w:spacing w:after="0" w:line="240" w:lineRule="auto"/>
              <w:rPr>
                <w:color w:val="000000" w:themeColor="text1"/>
                <w:sz w:val="22"/>
                <w:szCs w:val="16"/>
                <w:lang w:val="es-ES_tradnl"/>
              </w:rPr>
            </w:pPr>
            <w:bookmarkStart w:id="0" w:name="RANGE!A13"/>
            <w:r>
              <w:rPr>
                <w:color w:val="000000" w:themeColor="text1"/>
                <w:sz w:val="22"/>
                <w:szCs w:val="16"/>
                <w:lang w:val="es-ES_tradnl"/>
              </w:rPr>
              <w:t>9</w:t>
            </w:r>
            <w:r w:rsidR="00262422">
              <w:rPr>
                <w:color w:val="000000" w:themeColor="text1"/>
                <w:sz w:val="22"/>
                <w:szCs w:val="16"/>
                <w:lang w:val="es-ES_tradnl"/>
              </w:rPr>
              <w:t xml:space="preserve">. </w:t>
            </w:r>
            <w:r w:rsidR="00262422" w:rsidRPr="0061770E">
              <w:rPr>
                <w:color w:val="000000" w:themeColor="text1"/>
                <w:sz w:val="22"/>
                <w:szCs w:val="16"/>
                <w:lang w:val="es-ES_tradnl"/>
              </w:rPr>
              <w:t>Se sugiere las siguientes acciones para los indicadores:</w:t>
            </w:r>
          </w:p>
          <w:p w:rsidR="00262422" w:rsidRPr="0061770E" w:rsidRDefault="00262422" w:rsidP="00262422">
            <w:pPr>
              <w:pStyle w:val="Prrafodelista"/>
              <w:numPr>
                <w:ilvl w:val="0"/>
                <w:numId w:val="6"/>
              </w:numPr>
              <w:spacing w:after="0" w:line="240" w:lineRule="auto"/>
              <w:ind w:left="317" w:hanging="284"/>
              <w:jc w:val="left"/>
              <w:rPr>
                <w:color w:val="000000" w:themeColor="text1"/>
                <w:sz w:val="22"/>
                <w:szCs w:val="16"/>
                <w:lang w:val="es-ES_tradnl"/>
              </w:rPr>
            </w:pPr>
            <w:r>
              <w:rPr>
                <w:color w:val="000000" w:themeColor="text1"/>
                <w:sz w:val="22"/>
                <w:szCs w:val="16"/>
                <w:lang w:val="es-ES_tradnl"/>
              </w:rPr>
              <w:t>Ajust</w:t>
            </w:r>
            <w:r w:rsidRPr="0061770E">
              <w:rPr>
                <w:color w:val="000000" w:themeColor="text1"/>
                <w:sz w:val="22"/>
                <w:szCs w:val="16"/>
                <w:lang w:val="es-ES_tradnl"/>
              </w:rPr>
              <w:t xml:space="preserve">ar las variables, con el objetivo de dar mayor claridad a su definición. </w:t>
            </w:r>
          </w:p>
          <w:p w:rsidR="00327392" w:rsidRDefault="00262422" w:rsidP="00327392">
            <w:pPr>
              <w:pStyle w:val="Prrafodelista"/>
              <w:numPr>
                <w:ilvl w:val="0"/>
                <w:numId w:val="6"/>
              </w:numPr>
              <w:spacing w:after="0" w:line="240" w:lineRule="auto"/>
              <w:ind w:left="317" w:hanging="284"/>
              <w:jc w:val="left"/>
              <w:rPr>
                <w:color w:val="000000" w:themeColor="text1"/>
                <w:sz w:val="22"/>
                <w:szCs w:val="16"/>
                <w:lang w:val="es-ES_tradnl"/>
              </w:rPr>
            </w:pPr>
            <w:r w:rsidRPr="0061770E">
              <w:rPr>
                <w:color w:val="000000" w:themeColor="text1"/>
                <w:sz w:val="22"/>
                <w:szCs w:val="16"/>
                <w:lang w:val="es-ES_tradnl"/>
              </w:rPr>
              <w:t xml:space="preserve">Desagregar las </w:t>
            </w:r>
            <w:r>
              <w:rPr>
                <w:color w:val="000000" w:themeColor="text1"/>
                <w:sz w:val="22"/>
                <w:szCs w:val="16"/>
                <w:lang w:val="es-ES_tradnl"/>
              </w:rPr>
              <w:t>variables</w:t>
            </w:r>
            <w:r w:rsidRPr="0061770E">
              <w:rPr>
                <w:color w:val="000000" w:themeColor="text1"/>
                <w:sz w:val="22"/>
                <w:szCs w:val="16"/>
                <w:lang w:val="es-ES_tradnl"/>
              </w:rPr>
              <w:t xml:space="preserve"> que no están especificadas y especificar a qué se refiere cada una de las variables, sin usar abreviaturas.</w:t>
            </w:r>
          </w:p>
          <w:p w:rsidR="00262422" w:rsidRPr="00327392" w:rsidRDefault="00262422" w:rsidP="00327392">
            <w:pPr>
              <w:pStyle w:val="Prrafodelista"/>
              <w:numPr>
                <w:ilvl w:val="0"/>
                <w:numId w:val="6"/>
              </w:numPr>
              <w:spacing w:after="0" w:line="240" w:lineRule="auto"/>
              <w:ind w:left="317" w:hanging="284"/>
              <w:jc w:val="left"/>
              <w:rPr>
                <w:color w:val="000000" w:themeColor="text1"/>
                <w:sz w:val="22"/>
                <w:szCs w:val="16"/>
                <w:lang w:val="es-ES_tradnl"/>
              </w:rPr>
            </w:pPr>
            <w:r w:rsidRPr="00327392">
              <w:rPr>
                <w:color w:val="000000" w:themeColor="text1"/>
                <w:sz w:val="22"/>
                <w:szCs w:val="16"/>
                <w:lang w:val="es-ES_tradnl"/>
              </w:rPr>
              <w:lastRenderedPageBreak/>
              <w:t xml:space="preserve">Se sugiere especificar el nombre de la unidad responsable de la elaboración de la información y el nombre del medio de verificación. </w:t>
            </w:r>
            <w:bookmarkEnd w:id="0"/>
          </w:p>
        </w:tc>
      </w:tr>
      <w:tr w:rsidR="00262422" w:rsidRPr="005F768B" w:rsidTr="009D5447">
        <w:trPr>
          <w:trHeight w:val="20"/>
        </w:trPr>
        <w:tc>
          <w:tcPr>
            <w:tcW w:w="9067" w:type="dxa"/>
            <w:tcBorders>
              <w:left w:val="single" w:sz="4" w:space="0" w:color="auto"/>
              <w:right w:val="single" w:sz="4" w:space="0" w:color="auto"/>
            </w:tcBorders>
            <w:shd w:val="clear" w:color="auto" w:fill="auto"/>
            <w:vAlign w:val="center"/>
            <w:hideMark/>
          </w:tcPr>
          <w:p w:rsidR="00262422" w:rsidRPr="0061770E" w:rsidRDefault="00262422" w:rsidP="00327392">
            <w:pPr>
              <w:spacing w:after="0" w:line="240" w:lineRule="auto"/>
              <w:ind w:left="0" w:firstLine="0"/>
              <w:rPr>
                <w:rFonts w:eastAsia="Times New Roman"/>
                <w:sz w:val="22"/>
              </w:rPr>
            </w:pPr>
            <w:r>
              <w:rPr>
                <w:color w:val="000000" w:themeColor="text1"/>
                <w:sz w:val="22"/>
                <w:szCs w:val="16"/>
                <w:lang w:val="es-ES_tradnl"/>
              </w:rPr>
              <w:lastRenderedPageBreak/>
              <w:t>1</w:t>
            </w:r>
            <w:r w:rsidR="00327392">
              <w:rPr>
                <w:color w:val="000000" w:themeColor="text1"/>
                <w:sz w:val="22"/>
                <w:szCs w:val="16"/>
                <w:lang w:val="es-ES_tradnl"/>
              </w:rPr>
              <w:t>0</w:t>
            </w:r>
            <w:r>
              <w:rPr>
                <w:color w:val="000000" w:themeColor="text1"/>
                <w:sz w:val="22"/>
                <w:szCs w:val="16"/>
                <w:lang w:val="es-ES_tradnl"/>
              </w:rPr>
              <w:t xml:space="preserve">. </w:t>
            </w:r>
            <w:r w:rsidRPr="0061770E">
              <w:rPr>
                <w:color w:val="000000" w:themeColor="text1"/>
                <w:sz w:val="22"/>
                <w:szCs w:val="16"/>
                <w:lang w:val="es-ES_tradnl"/>
              </w:rPr>
              <w:t>Generar en el Sistema de Monitoreo de Indicadores de Desempeño de Oaxaca (MIDO) una sección que dé cuenta del avance de los indicadores de desempeño de la ETG, incluidos los del programa 165, hasta los relativos a los especificados en el marco de resultados del documento de la ETG.</w:t>
            </w:r>
          </w:p>
        </w:tc>
      </w:tr>
      <w:tr w:rsidR="00262422" w:rsidRPr="005F768B" w:rsidTr="009D5447">
        <w:trPr>
          <w:trHeight w:val="20"/>
        </w:trPr>
        <w:tc>
          <w:tcPr>
            <w:tcW w:w="9067" w:type="dxa"/>
            <w:tcBorders>
              <w:left w:val="single" w:sz="4" w:space="0" w:color="auto"/>
              <w:bottom w:val="single" w:sz="4" w:space="0" w:color="auto"/>
              <w:right w:val="single" w:sz="4" w:space="0" w:color="auto"/>
            </w:tcBorders>
            <w:shd w:val="clear" w:color="auto" w:fill="auto"/>
            <w:vAlign w:val="center"/>
            <w:hideMark/>
          </w:tcPr>
          <w:p w:rsidR="00262422" w:rsidRDefault="00262422" w:rsidP="00327392">
            <w:pPr>
              <w:spacing w:after="0" w:line="240" w:lineRule="auto"/>
              <w:ind w:left="0" w:firstLine="0"/>
              <w:rPr>
                <w:rFonts w:eastAsia="Times New Roman"/>
                <w:color w:val="000000" w:themeColor="text1"/>
                <w:sz w:val="22"/>
                <w:szCs w:val="16"/>
                <w:lang w:val="es-ES_tradnl"/>
              </w:rPr>
            </w:pPr>
            <w:bookmarkStart w:id="1" w:name="RANGE!A15"/>
            <w:r>
              <w:rPr>
                <w:rFonts w:eastAsia="Times New Roman"/>
                <w:color w:val="000000" w:themeColor="text1"/>
                <w:sz w:val="22"/>
                <w:szCs w:val="16"/>
                <w:lang w:val="es-ES_tradnl"/>
              </w:rPr>
              <w:t>1</w:t>
            </w:r>
            <w:r w:rsidR="00327392">
              <w:rPr>
                <w:rFonts w:eastAsia="Times New Roman"/>
                <w:color w:val="000000" w:themeColor="text1"/>
                <w:sz w:val="22"/>
                <w:szCs w:val="16"/>
                <w:lang w:val="es-ES_tradnl"/>
              </w:rPr>
              <w:t>1</w:t>
            </w:r>
            <w:r>
              <w:rPr>
                <w:rFonts w:eastAsia="Times New Roman"/>
                <w:color w:val="000000" w:themeColor="text1"/>
                <w:sz w:val="22"/>
                <w:szCs w:val="16"/>
                <w:lang w:val="es-ES_tradnl"/>
              </w:rPr>
              <w:t xml:space="preserve">. </w:t>
            </w:r>
            <w:r w:rsidRPr="00911A91">
              <w:rPr>
                <w:rFonts w:eastAsia="Times New Roman"/>
                <w:color w:val="000000" w:themeColor="text1"/>
                <w:sz w:val="22"/>
                <w:szCs w:val="16"/>
                <w:lang w:val="es-ES_tradnl"/>
              </w:rPr>
              <w:t>Continuar implementando campañas de difusión dirigidas a las dependencias estatales para ampliar su conocimiento general respecto de la ETG y sus actividades específicas; así como campañas dirigidas hacia la ciudadanía que le permitan conocer</w:t>
            </w:r>
            <w:r>
              <w:rPr>
                <w:rFonts w:eastAsia="Times New Roman"/>
                <w:color w:val="000000" w:themeColor="text1"/>
                <w:sz w:val="22"/>
                <w:szCs w:val="16"/>
                <w:lang w:val="es-ES_tradnl"/>
              </w:rPr>
              <w:t xml:space="preserve"> </w:t>
            </w:r>
            <w:r w:rsidRPr="00911A91">
              <w:rPr>
                <w:rFonts w:eastAsia="Times New Roman"/>
                <w:color w:val="000000" w:themeColor="text1"/>
                <w:sz w:val="22"/>
                <w:szCs w:val="16"/>
                <w:lang w:val="es-ES_tradnl"/>
              </w:rPr>
              <w:t>la ETG como instrumento ciudadano para el ejercicio de sus derechos a la participación ciudadana y a la transparencia del Gobierno del Estado de Oaxaca</w:t>
            </w:r>
            <w:r w:rsidRPr="0061770E">
              <w:rPr>
                <w:rFonts w:eastAsia="Times New Roman"/>
                <w:color w:val="000000" w:themeColor="text1"/>
                <w:sz w:val="22"/>
                <w:szCs w:val="16"/>
                <w:lang w:val="es-ES_tradnl"/>
              </w:rPr>
              <w:t>.</w:t>
            </w:r>
            <w:bookmarkEnd w:id="1"/>
          </w:p>
          <w:p w:rsidR="00AF23BC" w:rsidRPr="0061770E" w:rsidRDefault="00AF23BC" w:rsidP="00327392">
            <w:pPr>
              <w:spacing w:after="0" w:line="240" w:lineRule="auto"/>
              <w:ind w:left="0" w:firstLine="0"/>
              <w:rPr>
                <w:rFonts w:eastAsia="Times New Roman"/>
                <w:sz w:val="22"/>
              </w:rPr>
            </w:pPr>
          </w:p>
        </w:tc>
      </w:tr>
    </w:tbl>
    <w:p w:rsidR="00262422" w:rsidRDefault="00262422" w:rsidP="00262422">
      <w:pPr>
        <w:spacing w:after="0" w:line="240" w:lineRule="auto"/>
        <w:rPr>
          <w:color w:val="000000" w:themeColor="text1"/>
          <w:lang w:val="es-ES_tradnl"/>
        </w:rPr>
      </w:pPr>
    </w:p>
    <w:tbl>
      <w:tblPr>
        <w:tblW w:w="4967" w:type="pct"/>
        <w:tblInd w:w="10" w:type="dxa"/>
        <w:tblCellMar>
          <w:left w:w="70" w:type="dxa"/>
          <w:right w:w="70" w:type="dxa"/>
        </w:tblCellMar>
        <w:tblLook w:val="04A0" w:firstRow="1" w:lastRow="0" w:firstColumn="1" w:lastColumn="0" w:noHBand="0" w:noVBand="1"/>
      </w:tblPr>
      <w:tblGrid>
        <w:gridCol w:w="9051"/>
      </w:tblGrid>
      <w:tr w:rsidR="00262422" w:rsidRPr="00405EC6" w:rsidTr="00327392">
        <w:trPr>
          <w:trHeight w:val="300"/>
        </w:trPr>
        <w:tc>
          <w:tcPr>
            <w:tcW w:w="5000" w:type="pct"/>
            <w:tcBorders>
              <w:top w:val="single" w:sz="4" w:space="0" w:color="auto"/>
              <w:left w:val="single" w:sz="4" w:space="0" w:color="auto"/>
              <w:bottom w:val="nil"/>
              <w:right w:val="single" w:sz="4" w:space="0" w:color="auto"/>
            </w:tcBorders>
            <w:shd w:val="clear" w:color="000000" w:fill="808080"/>
            <w:noWrap/>
            <w:vAlign w:val="bottom"/>
            <w:hideMark/>
          </w:tcPr>
          <w:p w:rsidR="00262422" w:rsidRPr="0061770E" w:rsidRDefault="00262422" w:rsidP="00A30333">
            <w:pPr>
              <w:spacing w:after="0" w:line="240" w:lineRule="auto"/>
              <w:jc w:val="center"/>
              <w:rPr>
                <w:b/>
                <w:bCs/>
                <w:color w:val="FFFFFF" w:themeColor="background1"/>
                <w:sz w:val="22"/>
                <w:lang w:val="es-ES_tradnl"/>
              </w:rPr>
            </w:pPr>
            <w:r w:rsidRPr="0061770E">
              <w:rPr>
                <w:b/>
                <w:bCs/>
                <w:color w:val="FFFFFF" w:themeColor="background1"/>
                <w:sz w:val="22"/>
                <w:lang w:val="es-ES_tradnl"/>
              </w:rPr>
              <w:t>DATOS DE LA INSTANCIA EVALUADORA EXTERNA</w:t>
            </w:r>
          </w:p>
        </w:tc>
      </w:tr>
      <w:tr w:rsidR="00262422" w:rsidRPr="00405EC6" w:rsidTr="00327392">
        <w:trPr>
          <w:trHeight w:val="285"/>
        </w:trPr>
        <w:tc>
          <w:tcPr>
            <w:tcW w:w="5000" w:type="pct"/>
            <w:tcBorders>
              <w:top w:val="single" w:sz="4" w:space="0" w:color="auto"/>
              <w:left w:val="single" w:sz="4" w:space="0" w:color="auto"/>
              <w:bottom w:val="nil"/>
              <w:right w:val="single" w:sz="4" w:space="0" w:color="auto"/>
            </w:tcBorders>
            <w:shd w:val="clear" w:color="auto" w:fill="auto"/>
            <w:noWrap/>
            <w:vAlign w:val="bottom"/>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4.1. Nombre del coordinador de la evaluación:</w:t>
            </w:r>
          </w:p>
        </w:tc>
      </w:tr>
      <w:tr w:rsidR="00262422" w:rsidRPr="00405EC6" w:rsidTr="00327392">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Mtro. Miguel Vázquez Flores</w:t>
            </w:r>
          </w:p>
        </w:tc>
      </w:tr>
      <w:tr w:rsidR="00262422" w:rsidRPr="00405EC6" w:rsidTr="00327392">
        <w:trPr>
          <w:trHeight w:val="285"/>
        </w:trPr>
        <w:tc>
          <w:tcPr>
            <w:tcW w:w="5000" w:type="pct"/>
            <w:tcBorders>
              <w:top w:val="single" w:sz="4" w:space="0" w:color="auto"/>
              <w:left w:val="single" w:sz="4" w:space="0" w:color="auto"/>
              <w:bottom w:val="nil"/>
              <w:right w:val="single" w:sz="4" w:space="0" w:color="auto"/>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4.2. Cargo:</w:t>
            </w:r>
          </w:p>
        </w:tc>
      </w:tr>
      <w:tr w:rsidR="00262422" w:rsidRPr="00405EC6" w:rsidTr="00327392">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Coordinador de evaluación</w:t>
            </w:r>
          </w:p>
        </w:tc>
      </w:tr>
      <w:tr w:rsidR="00262422" w:rsidRPr="00405EC6" w:rsidTr="00327392">
        <w:trPr>
          <w:trHeight w:val="285"/>
        </w:trPr>
        <w:tc>
          <w:tcPr>
            <w:tcW w:w="5000" w:type="pct"/>
            <w:tcBorders>
              <w:top w:val="single" w:sz="4" w:space="0" w:color="auto"/>
              <w:left w:val="single" w:sz="4" w:space="0" w:color="auto"/>
              <w:bottom w:val="nil"/>
              <w:right w:val="single" w:sz="4" w:space="0" w:color="auto"/>
            </w:tcBorders>
            <w:shd w:val="clear" w:color="auto" w:fill="auto"/>
            <w:noWrap/>
            <w:vAlign w:val="bottom"/>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4.3. Institución a la que pertenece:</w:t>
            </w:r>
          </w:p>
        </w:tc>
      </w:tr>
      <w:tr w:rsidR="00262422" w:rsidRPr="00405EC6" w:rsidTr="00327392">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Servicios Especializados ZAPIEN, S.A. de C.V.</w:t>
            </w:r>
          </w:p>
        </w:tc>
      </w:tr>
      <w:tr w:rsidR="00262422" w:rsidRPr="00405EC6" w:rsidTr="00327392">
        <w:trPr>
          <w:trHeight w:val="285"/>
        </w:trPr>
        <w:tc>
          <w:tcPr>
            <w:tcW w:w="5000" w:type="pct"/>
            <w:tcBorders>
              <w:top w:val="single" w:sz="4" w:space="0" w:color="auto"/>
              <w:left w:val="single" w:sz="4" w:space="0" w:color="auto"/>
              <w:bottom w:val="nil"/>
              <w:right w:val="single" w:sz="4" w:space="0" w:color="auto"/>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4.4. Principales colaboradores:</w:t>
            </w:r>
          </w:p>
        </w:tc>
      </w:tr>
      <w:tr w:rsidR="00262422" w:rsidRPr="00405EC6" w:rsidTr="00327392">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Mtro. José Luis González Madrigal</w:t>
            </w:r>
          </w:p>
        </w:tc>
      </w:tr>
      <w:tr w:rsidR="00262422" w:rsidRPr="00405EC6" w:rsidTr="00327392">
        <w:trPr>
          <w:trHeight w:val="285"/>
        </w:trPr>
        <w:tc>
          <w:tcPr>
            <w:tcW w:w="5000" w:type="pct"/>
            <w:tcBorders>
              <w:top w:val="single" w:sz="4" w:space="0" w:color="auto"/>
              <w:left w:val="single" w:sz="4" w:space="0" w:color="auto"/>
              <w:bottom w:val="nil"/>
              <w:right w:val="single" w:sz="4" w:space="0" w:color="auto"/>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4.5. Correo electrónico del coordinador de la evaluación:</w:t>
            </w:r>
          </w:p>
        </w:tc>
      </w:tr>
      <w:tr w:rsidR="00262422" w:rsidRPr="00405EC6" w:rsidTr="00327392">
        <w:trPr>
          <w:trHeight w:val="285"/>
        </w:trPr>
        <w:tc>
          <w:tcPr>
            <w:tcW w:w="5000" w:type="pct"/>
            <w:tcBorders>
              <w:top w:val="nil"/>
              <w:left w:val="single" w:sz="4" w:space="0" w:color="auto"/>
              <w:bottom w:val="single" w:sz="4" w:space="0" w:color="auto"/>
              <w:right w:val="single" w:sz="4" w:space="0" w:color="auto"/>
            </w:tcBorders>
            <w:shd w:val="clear" w:color="auto" w:fill="auto"/>
            <w:noWrap/>
            <w:vAlign w:val="center"/>
            <w:hideMark/>
          </w:tcPr>
          <w:p w:rsidR="00262422" w:rsidRPr="00FC7E2E" w:rsidRDefault="00262422" w:rsidP="00A30333">
            <w:pPr>
              <w:spacing w:after="0" w:line="240" w:lineRule="auto"/>
              <w:rPr>
                <w:color w:val="000000" w:themeColor="text1"/>
                <w:sz w:val="22"/>
                <w:lang w:val="es-ES_tradnl"/>
              </w:rPr>
            </w:pPr>
            <w:hyperlink r:id="rId5" w:history="1">
              <w:r w:rsidRPr="00FC7E2E">
                <w:rPr>
                  <w:color w:val="000000" w:themeColor="text1"/>
                  <w:sz w:val="22"/>
                  <w:lang w:val="es-ES_tradnl"/>
                </w:rPr>
                <w:t>zapienoaxaca@gmail.com</w:t>
              </w:r>
            </w:hyperlink>
          </w:p>
        </w:tc>
      </w:tr>
      <w:tr w:rsidR="00262422" w:rsidRPr="00405EC6" w:rsidTr="00327392">
        <w:trPr>
          <w:trHeight w:val="285"/>
        </w:trPr>
        <w:tc>
          <w:tcPr>
            <w:tcW w:w="5000" w:type="pct"/>
            <w:tcBorders>
              <w:top w:val="single" w:sz="4" w:space="0" w:color="auto"/>
              <w:left w:val="single" w:sz="4" w:space="0" w:color="auto"/>
              <w:bottom w:val="nil"/>
              <w:right w:val="single" w:sz="4" w:space="0" w:color="auto"/>
            </w:tcBorders>
            <w:shd w:val="clear" w:color="auto" w:fill="auto"/>
            <w:noWrap/>
            <w:vAlign w:val="bottom"/>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4.6. Teléfono (con clave lada):</w:t>
            </w:r>
          </w:p>
        </w:tc>
      </w:tr>
      <w:tr w:rsidR="00262422" w:rsidRPr="00405EC6" w:rsidTr="00327392">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262422" w:rsidRDefault="00262422" w:rsidP="00A30333">
            <w:pPr>
              <w:spacing w:after="0" w:line="240" w:lineRule="auto"/>
              <w:rPr>
                <w:color w:val="000000" w:themeColor="text1"/>
                <w:sz w:val="22"/>
                <w:lang w:val="es-ES_tradnl"/>
              </w:rPr>
            </w:pPr>
            <w:r w:rsidRPr="00405EC6">
              <w:rPr>
                <w:color w:val="000000" w:themeColor="text1"/>
                <w:sz w:val="22"/>
                <w:lang w:val="es-ES_tradnl"/>
              </w:rPr>
              <w:t>951 134 35 52</w:t>
            </w:r>
          </w:p>
          <w:p w:rsidR="00E35549" w:rsidRPr="00405EC6" w:rsidRDefault="00E35549" w:rsidP="00A30333">
            <w:pPr>
              <w:spacing w:after="0" w:line="240" w:lineRule="auto"/>
              <w:rPr>
                <w:color w:val="000000" w:themeColor="text1"/>
                <w:sz w:val="22"/>
                <w:lang w:val="es-ES_tradnl"/>
              </w:rPr>
            </w:pPr>
          </w:p>
        </w:tc>
      </w:tr>
    </w:tbl>
    <w:p w:rsidR="00262422" w:rsidRPr="00405EC6" w:rsidRDefault="00262422" w:rsidP="00262422">
      <w:pPr>
        <w:spacing w:after="0" w:line="240" w:lineRule="auto"/>
        <w:jc w:val="center"/>
        <w:rPr>
          <w:color w:val="000000" w:themeColor="text1"/>
          <w:lang w:val="es-ES_tradnl"/>
        </w:rPr>
      </w:pPr>
    </w:p>
    <w:tbl>
      <w:tblPr>
        <w:tblW w:w="4952" w:type="pct"/>
        <w:tblInd w:w="30" w:type="dxa"/>
        <w:tblLayout w:type="fixed"/>
        <w:tblCellMar>
          <w:left w:w="70" w:type="dxa"/>
          <w:right w:w="70" w:type="dxa"/>
        </w:tblCellMar>
        <w:tblLook w:val="04A0" w:firstRow="1" w:lastRow="0" w:firstColumn="1" w:lastColumn="0" w:noHBand="0" w:noVBand="1"/>
      </w:tblPr>
      <w:tblGrid>
        <w:gridCol w:w="3651"/>
        <w:gridCol w:w="5373"/>
      </w:tblGrid>
      <w:tr w:rsidR="00262422" w:rsidRPr="00405EC6" w:rsidTr="00327392">
        <w:trPr>
          <w:trHeight w:val="451"/>
        </w:trPr>
        <w:tc>
          <w:tcPr>
            <w:tcW w:w="5000" w:type="pct"/>
            <w:gridSpan w:val="2"/>
            <w:tcBorders>
              <w:top w:val="single" w:sz="4" w:space="0" w:color="auto"/>
              <w:left w:val="single" w:sz="4" w:space="0" w:color="auto"/>
              <w:bottom w:val="nil"/>
              <w:right w:val="single" w:sz="4" w:space="0" w:color="auto"/>
            </w:tcBorders>
            <w:shd w:val="clear" w:color="000000" w:fill="808080"/>
            <w:noWrap/>
            <w:vAlign w:val="bottom"/>
            <w:hideMark/>
          </w:tcPr>
          <w:p w:rsidR="00262422" w:rsidRPr="0061770E" w:rsidRDefault="00262422" w:rsidP="00262422">
            <w:pPr>
              <w:spacing w:after="0" w:line="240" w:lineRule="auto"/>
              <w:ind w:right="-153"/>
              <w:jc w:val="center"/>
              <w:rPr>
                <w:b/>
                <w:bCs/>
                <w:color w:val="FFFFFF" w:themeColor="background1"/>
                <w:sz w:val="22"/>
                <w:lang w:val="es-ES_tradnl"/>
              </w:rPr>
            </w:pPr>
            <w:r w:rsidRPr="0061770E">
              <w:rPr>
                <w:b/>
                <w:bCs/>
                <w:color w:val="FFFFFF" w:themeColor="background1"/>
                <w:sz w:val="22"/>
                <w:lang w:val="es-ES_tradnl"/>
              </w:rPr>
              <w:t xml:space="preserve">IDENTIFICACIÓN DE LOS PROGRAMAS DE LA </w:t>
            </w:r>
            <w:r>
              <w:rPr>
                <w:b/>
                <w:bCs/>
                <w:color w:val="FFFFFF" w:themeColor="background1"/>
                <w:sz w:val="22"/>
                <w:lang w:val="es-ES_tradnl"/>
              </w:rPr>
              <w:t>ESTRATEGIA</w:t>
            </w:r>
          </w:p>
        </w:tc>
      </w:tr>
      <w:tr w:rsidR="00262422" w:rsidRPr="00405EC6" w:rsidTr="00327392">
        <w:trPr>
          <w:trHeight w:val="429"/>
        </w:trPr>
        <w:tc>
          <w:tcPr>
            <w:tcW w:w="5000" w:type="pct"/>
            <w:gridSpan w:val="2"/>
            <w:tcBorders>
              <w:top w:val="single" w:sz="4" w:space="0" w:color="auto"/>
              <w:left w:val="single" w:sz="4" w:space="0" w:color="auto"/>
              <w:bottom w:val="nil"/>
              <w:right w:val="single" w:sz="4" w:space="0" w:color="auto"/>
            </w:tcBorders>
            <w:shd w:val="clear" w:color="auto" w:fill="auto"/>
            <w:noWrap/>
            <w:vAlign w:val="bottom"/>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5.1</w:t>
            </w:r>
            <w:r>
              <w:rPr>
                <w:b/>
                <w:bCs/>
                <w:color w:val="000000" w:themeColor="text1"/>
                <w:sz w:val="22"/>
                <w:lang w:val="es-ES_tradnl"/>
              </w:rPr>
              <w:t>.</w:t>
            </w:r>
            <w:r w:rsidRPr="0061770E">
              <w:rPr>
                <w:b/>
                <w:bCs/>
                <w:color w:val="000000" w:themeColor="text1"/>
                <w:sz w:val="22"/>
                <w:lang w:val="es-ES_tradnl"/>
              </w:rPr>
              <w:t xml:space="preserve"> Nombre del (los) programa(s) evaluado(s) como parte de la Estrategia:</w:t>
            </w:r>
          </w:p>
        </w:tc>
      </w:tr>
      <w:tr w:rsidR="00262422" w:rsidRPr="00405EC6" w:rsidTr="00327392">
        <w:trPr>
          <w:trHeight w:val="429"/>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2422" w:rsidRDefault="00262422" w:rsidP="00A30333">
            <w:pPr>
              <w:spacing w:after="0" w:line="240" w:lineRule="auto"/>
              <w:rPr>
                <w:color w:val="000000" w:themeColor="text1"/>
                <w:sz w:val="22"/>
                <w:lang w:val="es-ES_tradnl"/>
              </w:rPr>
            </w:pPr>
            <w:r w:rsidRPr="00405EC6">
              <w:rPr>
                <w:color w:val="000000" w:themeColor="text1"/>
                <w:sz w:val="22"/>
                <w:lang w:val="es-ES_tradnl"/>
              </w:rPr>
              <w:t>165. Prevención, sanción, transparencia, rendición de cuentas y combate a la corrupción</w:t>
            </w:r>
          </w:p>
          <w:p w:rsidR="00E35549" w:rsidRPr="00405EC6" w:rsidRDefault="00E35549" w:rsidP="00A30333">
            <w:pPr>
              <w:spacing w:after="0" w:line="240" w:lineRule="auto"/>
              <w:rPr>
                <w:color w:val="000000" w:themeColor="text1"/>
                <w:sz w:val="22"/>
                <w:lang w:val="es-ES_tradnl"/>
              </w:rPr>
            </w:pPr>
          </w:p>
        </w:tc>
      </w:tr>
      <w:tr w:rsidR="00262422" w:rsidRPr="00405EC6" w:rsidTr="00327392">
        <w:trPr>
          <w:trHeight w:val="223"/>
        </w:trPr>
        <w:tc>
          <w:tcPr>
            <w:tcW w:w="5000" w:type="pct"/>
            <w:gridSpan w:val="2"/>
            <w:tcBorders>
              <w:top w:val="single" w:sz="4" w:space="0" w:color="auto"/>
              <w:left w:val="single" w:sz="4" w:space="0" w:color="auto"/>
              <w:bottom w:val="nil"/>
              <w:right w:val="single" w:sz="4" w:space="0" w:color="auto"/>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5.2</w:t>
            </w:r>
            <w:r>
              <w:rPr>
                <w:b/>
                <w:bCs/>
                <w:color w:val="000000" w:themeColor="text1"/>
                <w:sz w:val="22"/>
                <w:lang w:val="es-ES_tradnl"/>
              </w:rPr>
              <w:t>.</w:t>
            </w:r>
            <w:r w:rsidRPr="0061770E">
              <w:rPr>
                <w:b/>
                <w:bCs/>
                <w:color w:val="000000" w:themeColor="text1"/>
                <w:sz w:val="22"/>
                <w:lang w:val="es-ES_tradnl"/>
              </w:rPr>
              <w:t xml:space="preserve"> Siglas:</w:t>
            </w:r>
          </w:p>
        </w:tc>
      </w:tr>
      <w:tr w:rsidR="00262422" w:rsidRPr="00405EC6" w:rsidTr="00327392">
        <w:trPr>
          <w:trHeight w:val="429"/>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2422" w:rsidRDefault="00262422" w:rsidP="00A30333">
            <w:pPr>
              <w:spacing w:after="0" w:line="240" w:lineRule="auto"/>
              <w:rPr>
                <w:color w:val="000000" w:themeColor="text1"/>
                <w:sz w:val="22"/>
                <w:lang w:val="es-ES_tradnl"/>
              </w:rPr>
            </w:pPr>
            <w:r w:rsidRPr="00405EC6">
              <w:rPr>
                <w:color w:val="000000" w:themeColor="text1"/>
                <w:sz w:val="22"/>
                <w:lang w:val="es-ES_tradnl"/>
              </w:rPr>
              <w:t>165. Prevención, sanción, transparencia, rendición de cuentas y combate a la corrupción</w:t>
            </w:r>
          </w:p>
          <w:p w:rsidR="00E35549" w:rsidRPr="00405EC6" w:rsidRDefault="00E35549" w:rsidP="00A30333">
            <w:pPr>
              <w:spacing w:after="0" w:line="240" w:lineRule="auto"/>
              <w:rPr>
                <w:color w:val="000000" w:themeColor="text1"/>
                <w:sz w:val="22"/>
                <w:lang w:val="es-ES_tradnl"/>
              </w:rPr>
            </w:pPr>
          </w:p>
        </w:tc>
      </w:tr>
      <w:tr w:rsidR="00262422" w:rsidRPr="00405EC6" w:rsidTr="00327392">
        <w:trPr>
          <w:trHeight w:val="429"/>
        </w:trPr>
        <w:tc>
          <w:tcPr>
            <w:tcW w:w="5000" w:type="pct"/>
            <w:gridSpan w:val="2"/>
            <w:tcBorders>
              <w:top w:val="single" w:sz="4" w:space="0" w:color="auto"/>
              <w:left w:val="single" w:sz="4" w:space="0" w:color="auto"/>
              <w:bottom w:val="nil"/>
              <w:right w:val="single" w:sz="4" w:space="0" w:color="auto"/>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61770E">
              <w:rPr>
                <w:b/>
                <w:bCs/>
                <w:color w:val="000000" w:themeColor="text1"/>
                <w:sz w:val="22"/>
                <w:lang w:val="es-ES_tradnl"/>
              </w:rPr>
              <w:t>5.3</w:t>
            </w:r>
            <w:r>
              <w:rPr>
                <w:b/>
                <w:bCs/>
                <w:color w:val="000000" w:themeColor="text1"/>
                <w:sz w:val="22"/>
                <w:lang w:val="es-ES_tradnl"/>
              </w:rPr>
              <w:t>.</w:t>
            </w:r>
            <w:r w:rsidRPr="0061770E">
              <w:rPr>
                <w:b/>
                <w:bCs/>
                <w:color w:val="000000" w:themeColor="text1"/>
                <w:sz w:val="22"/>
                <w:lang w:val="es-ES_tradnl"/>
              </w:rPr>
              <w:t xml:space="preserve"> Ente público coordinador del (los) programa(s): Secretaría de la Contraloría y Transparencia Gubernamental</w:t>
            </w:r>
          </w:p>
        </w:tc>
      </w:tr>
      <w:tr w:rsidR="00262422" w:rsidRPr="00405EC6" w:rsidTr="00AF23BC">
        <w:trPr>
          <w:trHeight w:val="333"/>
        </w:trPr>
        <w:tc>
          <w:tcPr>
            <w:tcW w:w="5000" w:type="pct"/>
            <w:gridSpan w:val="2"/>
            <w:tcBorders>
              <w:top w:val="single" w:sz="4" w:space="0" w:color="auto"/>
              <w:left w:val="single" w:sz="4" w:space="0" w:color="auto"/>
              <w:bottom w:val="nil"/>
              <w:right w:val="single" w:sz="4" w:space="0" w:color="auto"/>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5.4</w:t>
            </w:r>
            <w:r>
              <w:rPr>
                <w:b/>
                <w:bCs/>
                <w:color w:val="000000" w:themeColor="text1"/>
                <w:sz w:val="22"/>
                <w:lang w:val="es-ES_tradnl"/>
              </w:rPr>
              <w:t>.</w:t>
            </w:r>
            <w:r w:rsidRPr="0061770E">
              <w:rPr>
                <w:b/>
                <w:bCs/>
                <w:color w:val="000000" w:themeColor="text1"/>
                <w:sz w:val="22"/>
                <w:lang w:val="es-ES_tradnl"/>
              </w:rPr>
              <w:t xml:space="preserve"> Poder público al que pertenece(n) el(los) programa(s):</w:t>
            </w:r>
          </w:p>
        </w:tc>
      </w:tr>
      <w:tr w:rsidR="00262422" w:rsidRPr="00405EC6" w:rsidTr="00327392">
        <w:trPr>
          <w:trHeight w:val="429"/>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Poder </w:t>
            </w:r>
            <w:proofErr w:type="spellStart"/>
            <w:r w:rsidRPr="00405EC6">
              <w:rPr>
                <w:color w:val="000000" w:themeColor="text1"/>
                <w:sz w:val="22"/>
                <w:lang w:val="es-ES_tradnl"/>
              </w:rPr>
              <w:t>Ejecutivo_X</w:t>
            </w:r>
            <w:proofErr w:type="spellEnd"/>
            <w:r w:rsidRPr="00405EC6">
              <w:rPr>
                <w:color w:val="000000" w:themeColor="text1"/>
                <w:sz w:val="22"/>
                <w:lang w:val="es-ES_tradnl"/>
              </w:rPr>
              <w:t>_ Poder Legislativo__ Poder Judicial__ Ente Autónomo___</w:t>
            </w:r>
          </w:p>
        </w:tc>
      </w:tr>
      <w:tr w:rsidR="00262422" w:rsidRPr="00405EC6" w:rsidTr="00AF23BC">
        <w:trPr>
          <w:trHeight w:val="317"/>
        </w:trPr>
        <w:tc>
          <w:tcPr>
            <w:tcW w:w="5000" w:type="pct"/>
            <w:gridSpan w:val="2"/>
            <w:tcBorders>
              <w:top w:val="single" w:sz="4" w:space="0" w:color="auto"/>
              <w:left w:val="single" w:sz="4" w:space="0" w:color="auto"/>
              <w:bottom w:val="nil"/>
              <w:right w:val="single" w:sz="4" w:space="0" w:color="auto"/>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5.5</w:t>
            </w:r>
            <w:r>
              <w:rPr>
                <w:b/>
                <w:bCs/>
                <w:color w:val="000000" w:themeColor="text1"/>
                <w:sz w:val="22"/>
                <w:lang w:val="es-ES_tradnl"/>
              </w:rPr>
              <w:t>.</w:t>
            </w:r>
            <w:r w:rsidRPr="0061770E">
              <w:rPr>
                <w:b/>
                <w:bCs/>
                <w:color w:val="000000" w:themeColor="text1"/>
                <w:sz w:val="22"/>
                <w:lang w:val="es-ES_tradnl"/>
              </w:rPr>
              <w:t xml:space="preserve"> Ámbito gubernamental al que pertenece(n) el(los) programa(s):</w:t>
            </w:r>
          </w:p>
        </w:tc>
      </w:tr>
      <w:tr w:rsidR="00262422" w:rsidRPr="00405EC6" w:rsidTr="00327392">
        <w:trPr>
          <w:trHeight w:val="429"/>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Federal__ </w:t>
            </w:r>
            <w:proofErr w:type="spellStart"/>
            <w:r w:rsidRPr="00405EC6">
              <w:rPr>
                <w:color w:val="000000" w:themeColor="text1"/>
                <w:sz w:val="22"/>
                <w:lang w:val="es-ES_tradnl"/>
              </w:rPr>
              <w:t>Estatal_</w:t>
            </w:r>
            <w:r w:rsidRPr="00405EC6">
              <w:rPr>
                <w:color w:val="000000" w:themeColor="text1"/>
                <w:sz w:val="22"/>
                <w:u w:val="single"/>
                <w:lang w:val="es-ES_tradnl"/>
              </w:rPr>
              <w:t>X</w:t>
            </w:r>
            <w:proofErr w:type="spellEnd"/>
            <w:r w:rsidRPr="00405EC6">
              <w:rPr>
                <w:color w:val="000000" w:themeColor="text1"/>
                <w:sz w:val="22"/>
                <w:lang w:val="es-ES_tradnl"/>
              </w:rPr>
              <w:t>_  Local__</w:t>
            </w:r>
          </w:p>
        </w:tc>
      </w:tr>
      <w:tr w:rsidR="00262422" w:rsidRPr="00405EC6" w:rsidTr="00327392">
        <w:trPr>
          <w:trHeight w:val="650"/>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5.6</w:t>
            </w:r>
            <w:r>
              <w:rPr>
                <w:b/>
                <w:bCs/>
                <w:color w:val="000000" w:themeColor="text1"/>
                <w:sz w:val="22"/>
                <w:lang w:val="es-ES_tradnl"/>
              </w:rPr>
              <w:t>.</w:t>
            </w:r>
            <w:r w:rsidRPr="0061770E">
              <w:rPr>
                <w:b/>
                <w:bCs/>
                <w:color w:val="000000" w:themeColor="text1"/>
                <w:sz w:val="22"/>
                <w:lang w:val="es-ES_tradnl"/>
              </w:rPr>
              <w:t xml:space="preserve"> Nombre de la(s) unidad(es) administrativa(s) y de (los) titular(es) a cargo del (los)</w:t>
            </w:r>
            <w:r w:rsidRPr="0061770E">
              <w:rPr>
                <w:b/>
                <w:bCs/>
                <w:color w:val="000000" w:themeColor="text1"/>
                <w:sz w:val="22"/>
                <w:lang w:val="es-ES_tradnl"/>
              </w:rPr>
              <w:br/>
              <w:t>programa(s):</w:t>
            </w:r>
          </w:p>
        </w:tc>
      </w:tr>
      <w:tr w:rsidR="00262422" w:rsidRPr="00405EC6" w:rsidTr="00FC7E2E">
        <w:trPr>
          <w:trHeight w:val="429"/>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422" w:rsidRPr="0061770E" w:rsidRDefault="00262422" w:rsidP="00A30333">
            <w:pPr>
              <w:spacing w:after="0" w:line="240" w:lineRule="auto"/>
              <w:jc w:val="left"/>
              <w:rPr>
                <w:color w:val="000000" w:themeColor="text1"/>
                <w:sz w:val="22"/>
                <w:lang w:val="es-ES_tradnl"/>
              </w:rPr>
            </w:pPr>
            <w:r w:rsidRPr="00FC7E2E">
              <w:rPr>
                <w:b/>
                <w:color w:val="000000" w:themeColor="text1"/>
                <w:sz w:val="22"/>
                <w:lang w:val="es-ES_tradnl"/>
              </w:rPr>
              <w:t>5.6.1.</w:t>
            </w:r>
            <w:r>
              <w:rPr>
                <w:color w:val="000000" w:themeColor="text1"/>
                <w:sz w:val="22"/>
                <w:lang w:val="es-ES_tradnl"/>
              </w:rPr>
              <w:t xml:space="preserve"> </w:t>
            </w:r>
            <w:r w:rsidRPr="00FC7E2E">
              <w:rPr>
                <w:b/>
                <w:color w:val="000000" w:themeColor="text1"/>
                <w:sz w:val="22"/>
                <w:lang w:val="es-ES_tradnl"/>
              </w:rPr>
              <w:t>Nombre(s</w:t>
            </w:r>
            <w:bookmarkStart w:id="2" w:name="_GoBack"/>
            <w:bookmarkEnd w:id="2"/>
            <w:r w:rsidRPr="00FC7E2E">
              <w:rPr>
                <w:b/>
                <w:color w:val="000000" w:themeColor="text1"/>
                <w:sz w:val="22"/>
                <w:lang w:val="es-ES_tradnl"/>
              </w:rPr>
              <w:t>) de la(s) unidad(es) administrativa(s) a cargo de (los) programa(s):</w:t>
            </w:r>
          </w:p>
          <w:p w:rsidR="00262422" w:rsidRDefault="00262422" w:rsidP="00A30333">
            <w:pPr>
              <w:spacing w:after="0" w:line="240" w:lineRule="auto"/>
              <w:rPr>
                <w:color w:val="000000" w:themeColor="text1"/>
                <w:sz w:val="22"/>
                <w:lang w:val="es-ES_tradnl"/>
              </w:rPr>
            </w:pPr>
            <w:r w:rsidRPr="00405EC6">
              <w:rPr>
                <w:color w:val="000000" w:themeColor="text1"/>
                <w:sz w:val="22"/>
                <w:lang w:val="es-ES_tradnl"/>
              </w:rPr>
              <w:lastRenderedPageBreak/>
              <w:t xml:space="preserve">Dirección de Transparencia, Dirección de Responsabilidades administrativas y Dirección Jurídica. </w:t>
            </w:r>
          </w:p>
          <w:p w:rsidR="00E35549" w:rsidRPr="00405EC6" w:rsidRDefault="00E35549" w:rsidP="00A30333">
            <w:pPr>
              <w:spacing w:after="0" w:line="240" w:lineRule="auto"/>
              <w:rPr>
                <w:color w:val="000000" w:themeColor="text1"/>
                <w:sz w:val="22"/>
                <w:lang w:val="es-ES_tradnl"/>
              </w:rPr>
            </w:pPr>
          </w:p>
        </w:tc>
      </w:tr>
      <w:tr w:rsidR="00262422" w:rsidRPr="00405EC6" w:rsidTr="00327392">
        <w:trPr>
          <w:trHeight w:val="56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rsidR="00262422" w:rsidRPr="00405EC6" w:rsidRDefault="00262422" w:rsidP="00A30333">
            <w:pPr>
              <w:spacing w:after="0" w:line="240" w:lineRule="auto"/>
              <w:rPr>
                <w:color w:val="000000" w:themeColor="text1"/>
                <w:sz w:val="22"/>
                <w:lang w:val="es-ES_tradnl"/>
              </w:rPr>
            </w:pPr>
            <w:r w:rsidRPr="00FC7E2E">
              <w:rPr>
                <w:b/>
                <w:color w:val="000000" w:themeColor="text1"/>
                <w:sz w:val="22"/>
                <w:lang w:val="es-ES_tradnl"/>
              </w:rPr>
              <w:lastRenderedPageBreak/>
              <w:t>5.6.2</w:t>
            </w:r>
            <w:r w:rsidRPr="00405EC6">
              <w:rPr>
                <w:color w:val="000000" w:themeColor="text1"/>
                <w:sz w:val="22"/>
                <w:lang w:val="es-ES_tradnl"/>
              </w:rPr>
              <w:t xml:space="preserve"> </w:t>
            </w:r>
            <w:r w:rsidRPr="00AF23BC">
              <w:rPr>
                <w:b/>
                <w:color w:val="000000" w:themeColor="text1"/>
                <w:sz w:val="22"/>
                <w:lang w:val="es-ES_tradnl"/>
              </w:rPr>
              <w:t>Nombre(s) de (los) titular(es) de la(s) unidad(es) adm</w:t>
            </w:r>
            <w:r w:rsidR="00AF23BC">
              <w:rPr>
                <w:b/>
                <w:color w:val="000000" w:themeColor="text1"/>
                <w:sz w:val="22"/>
                <w:lang w:val="es-ES_tradnl"/>
              </w:rPr>
              <w:t xml:space="preserve">inistrativa(s) a cargo de (los) </w:t>
            </w:r>
            <w:r w:rsidRPr="00AF23BC">
              <w:rPr>
                <w:b/>
                <w:color w:val="000000" w:themeColor="text1"/>
                <w:sz w:val="22"/>
                <w:lang w:val="es-ES_tradnl"/>
              </w:rPr>
              <w:t>programa(s) (nombre completo, correo electrónico y teléfono con clave lada):</w:t>
            </w:r>
          </w:p>
        </w:tc>
      </w:tr>
      <w:tr w:rsidR="00262422" w:rsidRPr="00405EC6" w:rsidTr="00FC7E2E">
        <w:trPr>
          <w:trHeight w:val="947"/>
        </w:trPr>
        <w:tc>
          <w:tcPr>
            <w:tcW w:w="2023" w:type="pct"/>
            <w:tcBorders>
              <w:top w:val="single" w:sz="4" w:space="0" w:color="auto"/>
              <w:left w:val="single" w:sz="4" w:space="0" w:color="auto"/>
              <w:bottom w:val="single" w:sz="4" w:space="0" w:color="auto"/>
              <w:right w:val="nil"/>
            </w:tcBorders>
            <w:shd w:val="clear" w:color="auto" w:fill="auto"/>
            <w:noWrap/>
            <w:vAlign w:val="bottom"/>
            <w:hideMark/>
          </w:tcPr>
          <w:p w:rsidR="00262422" w:rsidRPr="00405EC6" w:rsidRDefault="00262422" w:rsidP="00FC7E2E">
            <w:pPr>
              <w:spacing w:after="0" w:line="240" w:lineRule="auto"/>
              <w:ind w:left="0" w:firstLine="0"/>
              <w:rPr>
                <w:b/>
                <w:bCs/>
                <w:color w:val="000000" w:themeColor="text1"/>
                <w:sz w:val="22"/>
                <w:lang w:val="es-ES_tradnl"/>
              </w:rPr>
            </w:pPr>
            <w:r w:rsidRPr="00405EC6">
              <w:rPr>
                <w:b/>
                <w:bCs/>
                <w:color w:val="000000" w:themeColor="text1"/>
                <w:sz w:val="22"/>
                <w:lang w:val="es-ES_tradnl"/>
              </w:rPr>
              <w:t>Nombres:</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Lic. José Manuel Méndez </w:t>
            </w:r>
            <w:proofErr w:type="spellStart"/>
            <w:r w:rsidRPr="00405EC6">
              <w:rPr>
                <w:color w:val="000000" w:themeColor="text1"/>
                <w:sz w:val="22"/>
                <w:lang w:val="es-ES_tradnl"/>
              </w:rPr>
              <w:t>Spíndola</w:t>
            </w:r>
            <w:proofErr w:type="spellEnd"/>
            <w:r w:rsidRPr="00405EC6">
              <w:rPr>
                <w:color w:val="000000" w:themeColor="text1"/>
                <w:sz w:val="22"/>
                <w:lang w:val="es-ES_tradnl"/>
              </w:rPr>
              <w:t>,</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Mtra. Maira Cortés Reyna </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Lic. Marco Antonio Estrada Aguilar</w:t>
            </w:r>
          </w:p>
        </w:tc>
        <w:tc>
          <w:tcPr>
            <w:tcW w:w="2977" w:type="pct"/>
            <w:tcBorders>
              <w:top w:val="single" w:sz="4" w:space="0" w:color="auto"/>
              <w:left w:val="single" w:sz="4" w:space="0" w:color="auto"/>
              <w:bottom w:val="single" w:sz="4" w:space="0" w:color="auto"/>
              <w:right w:val="single" w:sz="4" w:space="0" w:color="auto"/>
            </w:tcBorders>
            <w:shd w:val="clear" w:color="auto" w:fill="auto"/>
            <w:noWrap/>
            <w:hideMark/>
          </w:tcPr>
          <w:p w:rsidR="00262422" w:rsidRPr="00405EC6" w:rsidRDefault="00262422" w:rsidP="00A30333">
            <w:pPr>
              <w:spacing w:after="0" w:line="240" w:lineRule="auto"/>
              <w:rPr>
                <w:b/>
                <w:bCs/>
                <w:color w:val="000000" w:themeColor="text1"/>
                <w:sz w:val="22"/>
                <w:lang w:val="es-ES_tradnl"/>
              </w:rPr>
            </w:pPr>
            <w:r w:rsidRPr="00405EC6">
              <w:rPr>
                <w:b/>
                <w:bCs/>
                <w:color w:val="000000" w:themeColor="text1"/>
                <w:sz w:val="22"/>
                <w:lang w:val="es-ES_tradnl"/>
              </w:rPr>
              <w:t>Unidad administrativa:</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Secretaría de la Contraloría y Transparencia Gubernamental</w:t>
            </w:r>
          </w:p>
          <w:p w:rsidR="00262422" w:rsidRPr="00405EC6" w:rsidRDefault="00262422" w:rsidP="00FC7E2E">
            <w:pPr>
              <w:spacing w:after="0" w:line="240" w:lineRule="auto"/>
              <w:rPr>
                <w:b/>
                <w:bCs/>
                <w:color w:val="000000" w:themeColor="text1"/>
                <w:sz w:val="22"/>
                <w:lang w:val="es-ES_tradnl"/>
              </w:rPr>
            </w:pPr>
            <w:r w:rsidRPr="00405EC6">
              <w:rPr>
                <w:color w:val="000000" w:themeColor="text1"/>
                <w:sz w:val="22"/>
                <w:lang w:val="es-ES_tradnl"/>
              </w:rPr>
              <w:t>951 50 150 00, ext. 10476, 11909. Y 10487</w:t>
            </w:r>
          </w:p>
        </w:tc>
      </w:tr>
    </w:tbl>
    <w:p w:rsidR="00262422" w:rsidRPr="00405EC6" w:rsidRDefault="00262422" w:rsidP="00262422">
      <w:pPr>
        <w:spacing w:after="0" w:line="240" w:lineRule="auto"/>
        <w:jc w:val="center"/>
        <w:rPr>
          <w:color w:val="000000" w:themeColor="text1"/>
          <w:lang w:val="es-ES_tradnl"/>
        </w:rPr>
      </w:pPr>
    </w:p>
    <w:p w:rsidR="00262422" w:rsidRPr="00405EC6" w:rsidRDefault="00262422" w:rsidP="00262422">
      <w:pPr>
        <w:spacing w:after="0" w:line="240" w:lineRule="auto"/>
        <w:jc w:val="center"/>
        <w:rPr>
          <w:b/>
          <w:bCs/>
          <w:color w:val="000000" w:themeColor="text1"/>
          <w:sz w:val="22"/>
          <w:lang w:val="es-ES_tradnl"/>
        </w:rPr>
      </w:pPr>
    </w:p>
    <w:tbl>
      <w:tblPr>
        <w:tblW w:w="4957" w:type="pct"/>
        <w:tblInd w:w="20" w:type="dxa"/>
        <w:tblLayout w:type="fixed"/>
        <w:tblCellMar>
          <w:left w:w="70" w:type="dxa"/>
          <w:right w:w="70" w:type="dxa"/>
        </w:tblCellMar>
        <w:tblLook w:val="04A0" w:firstRow="1" w:lastRow="0" w:firstColumn="1" w:lastColumn="0" w:noHBand="0" w:noVBand="1"/>
      </w:tblPr>
      <w:tblGrid>
        <w:gridCol w:w="5228"/>
        <w:gridCol w:w="3805"/>
      </w:tblGrid>
      <w:tr w:rsidR="00262422" w:rsidRPr="00405EC6" w:rsidTr="009B40D7">
        <w:trPr>
          <w:trHeight w:val="300"/>
        </w:trPr>
        <w:tc>
          <w:tcPr>
            <w:tcW w:w="5000" w:type="pct"/>
            <w:gridSpan w:val="2"/>
            <w:tcBorders>
              <w:top w:val="single" w:sz="4" w:space="0" w:color="auto"/>
              <w:left w:val="single" w:sz="4" w:space="0" w:color="auto"/>
              <w:bottom w:val="nil"/>
              <w:right w:val="single" w:sz="4" w:space="0" w:color="auto"/>
            </w:tcBorders>
            <w:shd w:val="clear" w:color="000000" w:fill="808080"/>
            <w:noWrap/>
            <w:vAlign w:val="bottom"/>
            <w:hideMark/>
          </w:tcPr>
          <w:p w:rsidR="00262422" w:rsidRPr="0061770E" w:rsidRDefault="00262422" w:rsidP="00A30333">
            <w:pPr>
              <w:spacing w:after="0" w:line="240" w:lineRule="auto"/>
              <w:jc w:val="center"/>
              <w:rPr>
                <w:b/>
                <w:bCs/>
                <w:color w:val="FFFFFF" w:themeColor="background1"/>
                <w:sz w:val="22"/>
                <w:lang w:val="es-ES_tradnl"/>
              </w:rPr>
            </w:pPr>
            <w:r w:rsidRPr="0061770E">
              <w:rPr>
                <w:b/>
                <w:bCs/>
                <w:color w:val="FFFFFF" w:themeColor="background1"/>
                <w:sz w:val="22"/>
                <w:lang w:val="es-ES_tradnl"/>
              </w:rPr>
              <w:t>DATOS DE CONTRATACIÓN DE LA EVALUACIÓN</w:t>
            </w:r>
          </w:p>
        </w:tc>
      </w:tr>
      <w:tr w:rsidR="00262422" w:rsidRPr="00405EC6" w:rsidTr="009B40D7">
        <w:trPr>
          <w:trHeight w:val="285"/>
        </w:trPr>
        <w:tc>
          <w:tcPr>
            <w:tcW w:w="5000" w:type="pct"/>
            <w:gridSpan w:val="2"/>
            <w:tcBorders>
              <w:top w:val="single" w:sz="4" w:space="0" w:color="auto"/>
              <w:left w:val="single" w:sz="4" w:space="0" w:color="auto"/>
              <w:bottom w:val="nil"/>
              <w:right w:val="single" w:sz="4" w:space="0" w:color="auto"/>
            </w:tcBorders>
            <w:shd w:val="clear" w:color="auto" w:fill="auto"/>
            <w:noWrap/>
            <w:vAlign w:val="bottom"/>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6.1</w:t>
            </w:r>
            <w:r>
              <w:rPr>
                <w:b/>
                <w:bCs/>
                <w:color w:val="000000" w:themeColor="text1"/>
                <w:sz w:val="22"/>
                <w:lang w:val="es-ES_tradnl"/>
              </w:rPr>
              <w:t>.</w:t>
            </w:r>
            <w:r w:rsidRPr="0061770E">
              <w:rPr>
                <w:b/>
                <w:bCs/>
                <w:color w:val="000000" w:themeColor="text1"/>
                <w:sz w:val="22"/>
                <w:lang w:val="es-ES_tradnl"/>
              </w:rPr>
              <w:t xml:space="preserve"> Tipo de contratación:</w:t>
            </w:r>
          </w:p>
        </w:tc>
      </w:tr>
      <w:tr w:rsidR="00262422" w:rsidRPr="00405EC6" w:rsidTr="009B40D7">
        <w:trPr>
          <w:trHeight w:val="285"/>
        </w:trPr>
        <w:tc>
          <w:tcPr>
            <w:tcW w:w="2894" w:type="pct"/>
            <w:tcBorders>
              <w:top w:val="nil"/>
              <w:left w:val="single" w:sz="4" w:space="0" w:color="auto"/>
              <w:bottom w:val="nil"/>
              <w:right w:val="nil"/>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6.1.1 Adjudicación Directa ___</w:t>
            </w:r>
          </w:p>
        </w:tc>
        <w:tc>
          <w:tcPr>
            <w:tcW w:w="2106" w:type="pct"/>
            <w:tcBorders>
              <w:top w:val="nil"/>
              <w:left w:val="nil"/>
              <w:bottom w:val="nil"/>
              <w:right w:val="single" w:sz="4" w:space="0" w:color="auto"/>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6.1.2 Invitación a tres</w:t>
            </w:r>
          </w:p>
        </w:tc>
      </w:tr>
      <w:tr w:rsidR="00262422" w:rsidRPr="00405EC6" w:rsidTr="009B40D7">
        <w:trPr>
          <w:trHeight w:val="285"/>
        </w:trPr>
        <w:tc>
          <w:tcPr>
            <w:tcW w:w="2894" w:type="pct"/>
            <w:tcBorders>
              <w:top w:val="nil"/>
              <w:left w:val="single" w:sz="4" w:space="0" w:color="auto"/>
              <w:bottom w:val="nil"/>
              <w:right w:val="nil"/>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6.1.3 Licitación Pública Nacional __</w:t>
            </w:r>
          </w:p>
        </w:tc>
        <w:tc>
          <w:tcPr>
            <w:tcW w:w="2106" w:type="pct"/>
            <w:tcBorders>
              <w:top w:val="nil"/>
              <w:left w:val="nil"/>
              <w:bottom w:val="nil"/>
              <w:right w:val="single" w:sz="4" w:space="0" w:color="auto"/>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6.1.4 Licitación Pública Internacional</w:t>
            </w:r>
          </w:p>
        </w:tc>
      </w:tr>
      <w:tr w:rsidR="00262422" w:rsidRPr="00405EC6" w:rsidTr="009B40D7">
        <w:trPr>
          <w:trHeight w:val="285"/>
        </w:trPr>
        <w:tc>
          <w:tcPr>
            <w:tcW w:w="2894" w:type="pct"/>
            <w:tcBorders>
              <w:top w:val="nil"/>
              <w:left w:val="single" w:sz="4" w:space="0" w:color="auto"/>
              <w:bottom w:val="single" w:sz="4" w:space="0" w:color="auto"/>
              <w:right w:val="nil"/>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6.1.5 Otro: (Señalar) _X_ Invitación Abierta Estatal</w:t>
            </w:r>
          </w:p>
        </w:tc>
        <w:tc>
          <w:tcPr>
            <w:tcW w:w="2106" w:type="pct"/>
            <w:tcBorders>
              <w:top w:val="nil"/>
              <w:left w:val="nil"/>
              <w:bottom w:val="single" w:sz="4" w:space="0" w:color="auto"/>
              <w:right w:val="single" w:sz="4" w:space="0" w:color="auto"/>
            </w:tcBorders>
            <w:shd w:val="clear" w:color="auto" w:fill="auto"/>
            <w:noWrap/>
            <w:vAlign w:val="bottom"/>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w:t>
            </w:r>
          </w:p>
        </w:tc>
      </w:tr>
      <w:tr w:rsidR="00262422" w:rsidRPr="00405EC6" w:rsidTr="009B40D7">
        <w:trPr>
          <w:trHeight w:val="285"/>
        </w:trPr>
        <w:tc>
          <w:tcPr>
            <w:tcW w:w="5000" w:type="pct"/>
            <w:gridSpan w:val="2"/>
            <w:tcBorders>
              <w:top w:val="single" w:sz="4" w:space="0" w:color="auto"/>
              <w:left w:val="single" w:sz="4" w:space="0" w:color="auto"/>
              <w:bottom w:val="nil"/>
              <w:right w:val="single" w:sz="4" w:space="0" w:color="auto"/>
            </w:tcBorders>
            <w:shd w:val="clear" w:color="auto" w:fill="auto"/>
            <w:noWrap/>
            <w:vAlign w:val="bottom"/>
            <w:hideMark/>
          </w:tcPr>
          <w:p w:rsidR="00262422"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6.2</w:t>
            </w:r>
            <w:r>
              <w:rPr>
                <w:b/>
                <w:bCs/>
                <w:color w:val="000000" w:themeColor="text1"/>
                <w:sz w:val="22"/>
                <w:lang w:val="es-ES_tradnl"/>
              </w:rPr>
              <w:t>.</w:t>
            </w:r>
            <w:r w:rsidRPr="0061770E">
              <w:rPr>
                <w:b/>
                <w:bCs/>
                <w:color w:val="000000" w:themeColor="text1"/>
                <w:sz w:val="22"/>
                <w:lang w:val="es-ES_tradnl"/>
              </w:rPr>
              <w:t xml:space="preserve"> Unidad administrativa responsable de contratar la evaluación:</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Dirección General de la Instancia Técnica de Evaluación</w:t>
            </w:r>
          </w:p>
        </w:tc>
      </w:tr>
      <w:tr w:rsidR="00262422" w:rsidRPr="00405EC6" w:rsidTr="009B40D7">
        <w:trPr>
          <w:trHeight w:val="285"/>
        </w:trPr>
        <w:tc>
          <w:tcPr>
            <w:tcW w:w="5000" w:type="pct"/>
            <w:gridSpan w:val="2"/>
            <w:tcBorders>
              <w:top w:val="single" w:sz="4" w:space="0" w:color="auto"/>
              <w:left w:val="single" w:sz="4" w:space="0" w:color="auto"/>
              <w:bottom w:val="nil"/>
              <w:right w:val="single" w:sz="4" w:space="0" w:color="auto"/>
            </w:tcBorders>
            <w:shd w:val="clear" w:color="auto" w:fill="auto"/>
            <w:noWrap/>
            <w:vAlign w:val="bottom"/>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6.3</w:t>
            </w:r>
            <w:r>
              <w:rPr>
                <w:b/>
                <w:bCs/>
                <w:color w:val="000000" w:themeColor="text1"/>
                <w:sz w:val="22"/>
                <w:lang w:val="es-ES_tradnl"/>
              </w:rPr>
              <w:t>.</w:t>
            </w:r>
            <w:r w:rsidRPr="0061770E">
              <w:rPr>
                <w:b/>
                <w:bCs/>
                <w:color w:val="000000" w:themeColor="text1"/>
                <w:sz w:val="22"/>
                <w:lang w:val="es-ES_tradnl"/>
              </w:rPr>
              <w:t xml:space="preserve"> Costo total de la evaluación:</w:t>
            </w:r>
          </w:p>
        </w:tc>
      </w:tr>
      <w:tr w:rsidR="00262422" w:rsidRPr="00405EC6" w:rsidTr="009B40D7">
        <w:trPr>
          <w:trHeight w:val="285"/>
        </w:trPr>
        <w:tc>
          <w:tcPr>
            <w:tcW w:w="5000" w:type="pct"/>
            <w:gridSpan w:val="2"/>
            <w:tcBorders>
              <w:top w:val="nil"/>
              <w:left w:val="single" w:sz="4" w:space="0" w:color="auto"/>
              <w:bottom w:val="single" w:sz="4" w:space="0" w:color="auto"/>
              <w:right w:val="single" w:sz="4" w:space="0" w:color="auto"/>
            </w:tcBorders>
            <w:shd w:val="clear" w:color="auto" w:fill="auto"/>
            <w:noWrap/>
            <w:vAlign w:val="center"/>
            <w:hideMark/>
          </w:tcPr>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 xml:space="preserve">$ 1,190,160.00 </w:t>
            </w:r>
            <w:r>
              <w:rPr>
                <w:color w:val="000000" w:themeColor="text1"/>
                <w:sz w:val="22"/>
                <w:lang w:val="es-ES_tradnl"/>
              </w:rPr>
              <w:t>IVA incluido</w:t>
            </w:r>
            <w:r w:rsidR="009B40D7">
              <w:rPr>
                <w:color w:val="000000" w:themeColor="text1"/>
                <w:sz w:val="22"/>
                <w:lang w:val="es-ES_tradnl"/>
              </w:rPr>
              <w:t>,</w:t>
            </w:r>
            <w:r>
              <w:rPr>
                <w:color w:val="000000" w:themeColor="text1"/>
                <w:sz w:val="22"/>
                <w:lang w:val="es-ES_tradnl"/>
              </w:rPr>
              <w:t xml:space="preserve"> </w:t>
            </w:r>
            <w:r w:rsidRPr="00405EC6">
              <w:rPr>
                <w:color w:val="000000" w:themeColor="text1"/>
                <w:sz w:val="22"/>
                <w:lang w:val="es-ES_tradnl"/>
              </w:rPr>
              <w:t>por el total de las evaluaciones incluidas en el PAE 2022</w:t>
            </w:r>
          </w:p>
        </w:tc>
      </w:tr>
      <w:tr w:rsidR="00262422" w:rsidRPr="00405EC6" w:rsidTr="009B40D7">
        <w:trPr>
          <w:trHeight w:val="285"/>
        </w:trPr>
        <w:tc>
          <w:tcPr>
            <w:tcW w:w="500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62422" w:rsidRPr="0061770E" w:rsidRDefault="00262422" w:rsidP="00A30333">
            <w:pPr>
              <w:spacing w:after="0" w:line="240" w:lineRule="auto"/>
              <w:rPr>
                <w:b/>
                <w:bCs/>
                <w:color w:val="000000" w:themeColor="text1"/>
                <w:sz w:val="22"/>
                <w:lang w:val="es-ES_tradnl"/>
              </w:rPr>
            </w:pPr>
            <w:r w:rsidRPr="0061770E">
              <w:rPr>
                <w:b/>
                <w:bCs/>
                <w:color w:val="000000" w:themeColor="text1"/>
                <w:sz w:val="22"/>
                <w:lang w:val="es-ES_tradnl"/>
              </w:rPr>
              <w:t>6.4</w:t>
            </w:r>
            <w:r>
              <w:rPr>
                <w:b/>
                <w:bCs/>
                <w:color w:val="000000" w:themeColor="text1"/>
                <w:sz w:val="22"/>
                <w:lang w:val="es-ES_tradnl"/>
              </w:rPr>
              <w:t>.</w:t>
            </w:r>
            <w:r w:rsidRPr="0061770E">
              <w:rPr>
                <w:b/>
                <w:bCs/>
                <w:color w:val="000000" w:themeColor="text1"/>
                <w:sz w:val="22"/>
                <w:lang w:val="es-ES_tradnl"/>
              </w:rPr>
              <w:t xml:space="preserve"> Fuente de Financiamiento:</w:t>
            </w:r>
          </w:p>
          <w:p w:rsidR="00262422" w:rsidRPr="00405EC6" w:rsidRDefault="00262422" w:rsidP="00A30333">
            <w:pPr>
              <w:spacing w:after="0" w:line="240" w:lineRule="auto"/>
              <w:rPr>
                <w:color w:val="000000" w:themeColor="text1"/>
                <w:sz w:val="22"/>
                <w:lang w:val="es-ES_tradnl"/>
              </w:rPr>
            </w:pPr>
            <w:r w:rsidRPr="00405EC6">
              <w:rPr>
                <w:color w:val="000000" w:themeColor="text1"/>
                <w:sz w:val="22"/>
                <w:lang w:val="es-ES_tradnl"/>
              </w:rPr>
              <w:t>Recursos fiscales</w:t>
            </w:r>
          </w:p>
        </w:tc>
      </w:tr>
    </w:tbl>
    <w:p w:rsidR="00262422" w:rsidRPr="00405EC6" w:rsidRDefault="00262422" w:rsidP="00262422">
      <w:pPr>
        <w:spacing w:after="0" w:line="240" w:lineRule="auto"/>
        <w:jc w:val="center"/>
        <w:rPr>
          <w:b/>
          <w:bCs/>
          <w:color w:val="000000" w:themeColor="text1"/>
          <w:sz w:val="22"/>
          <w:lang w:val="es-ES_tradnl"/>
        </w:rPr>
      </w:pPr>
    </w:p>
    <w:tbl>
      <w:tblPr>
        <w:tblW w:w="4967" w:type="pct"/>
        <w:tblInd w:w="10" w:type="dxa"/>
        <w:tblCellMar>
          <w:left w:w="70" w:type="dxa"/>
          <w:right w:w="70" w:type="dxa"/>
        </w:tblCellMar>
        <w:tblLook w:val="04A0" w:firstRow="1" w:lastRow="0" w:firstColumn="1" w:lastColumn="0" w:noHBand="0" w:noVBand="1"/>
      </w:tblPr>
      <w:tblGrid>
        <w:gridCol w:w="9051"/>
      </w:tblGrid>
      <w:tr w:rsidR="00262422" w:rsidRPr="00405EC6" w:rsidTr="009B40D7">
        <w:trPr>
          <w:trHeight w:val="300"/>
        </w:trPr>
        <w:tc>
          <w:tcPr>
            <w:tcW w:w="5000" w:type="pct"/>
            <w:tcBorders>
              <w:top w:val="single" w:sz="4" w:space="0" w:color="auto"/>
              <w:left w:val="single" w:sz="4" w:space="0" w:color="auto"/>
              <w:bottom w:val="nil"/>
              <w:right w:val="single" w:sz="4" w:space="0" w:color="auto"/>
            </w:tcBorders>
            <w:shd w:val="clear" w:color="000000" w:fill="808080"/>
            <w:noWrap/>
            <w:vAlign w:val="bottom"/>
            <w:hideMark/>
          </w:tcPr>
          <w:p w:rsidR="00262422" w:rsidRPr="00405EC6" w:rsidRDefault="00262422" w:rsidP="00A30333">
            <w:pPr>
              <w:spacing w:after="0" w:line="240" w:lineRule="auto"/>
              <w:jc w:val="center"/>
              <w:rPr>
                <w:b/>
                <w:bCs/>
                <w:color w:val="000000" w:themeColor="text1"/>
                <w:sz w:val="22"/>
                <w:lang w:val="es-ES_tradnl"/>
              </w:rPr>
            </w:pPr>
            <w:r w:rsidRPr="0061770E">
              <w:rPr>
                <w:b/>
                <w:bCs/>
                <w:color w:val="FFFFFF" w:themeColor="background1"/>
                <w:sz w:val="22"/>
                <w:lang w:val="es-ES_tradnl"/>
              </w:rPr>
              <w:t>DIFUSIÓN DE LA EVALUACIÓN</w:t>
            </w:r>
          </w:p>
        </w:tc>
      </w:tr>
      <w:tr w:rsidR="00262422" w:rsidRPr="00405EC6" w:rsidTr="009B40D7">
        <w:trPr>
          <w:trHeight w:val="285"/>
        </w:trPr>
        <w:tc>
          <w:tcPr>
            <w:tcW w:w="5000" w:type="pct"/>
            <w:tcBorders>
              <w:top w:val="single" w:sz="4" w:space="0" w:color="auto"/>
              <w:left w:val="single" w:sz="4" w:space="0" w:color="auto"/>
              <w:bottom w:val="nil"/>
              <w:right w:val="single" w:sz="4" w:space="0" w:color="auto"/>
            </w:tcBorders>
            <w:shd w:val="clear" w:color="auto" w:fill="auto"/>
            <w:noWrap/>
            <w:vAlign w:val="bottom"/>
            <w:hideMark/>
          </w:tcPr>
          <w:p w:rsidR="00262422" w:rsidRDefault="00262422" w:rsidP="00A30333">
            <w:pPr>
              <w:spacing w:after="0" w:line="240" w:lineRule="auto"/>
              <w:rPr>
                <w:color w:val="000000" w:themeColor="text1"/>
                <w:sz w:val="22"/>
                <w:lang w:val="es-ES_tradnl"/>
              </w:rPr>
            </w:pPr>
            <w:r w:rsidRPr="0061770E">
              <w:rPr>
                <w:b/>
                <w:bCs/>
                <w:color w:val="000000" w:themeColor="text1"/>
                <w:sz w:val="22"/>
                <w:lang w:val="es-ES_tradnl"/>
              </w:rPr>
              <w:t>7.1</w:t>
            </w:r>
            <w:r>
              <w:rPr>
                <w:b/>
                <w:bCs/>
                <w:color w:val="000000" w:themeColor="text1"/>
                <w:sz w:val="22"/>
                <w:lang w:val="es-ES_tradnl"/>
              </w:rPr>
              <w:t>.</w:t>
            </w:r>
            <w:r w:rsidRPr="0061770E">
              <w:rPr>
                <w:b/>
                <w:bCs/>
                <w:color w:val="000000" w:themeColor="text1"/>
                <w:sz w:val="22"/>
                <w:lang w:val="es-ES_tradnl"/>
              </w:rPr>
              <w:t xml:space="preserve"> Difusión en internet de la evaluación</w:t>
            </w:r>
            <w:r w:rsidRPr="00405EC6">
              <w:rPr>
                <w:color w:val="000000" w:themeColor="text1"/>
                <w:sz w:val="22"/>
                <w:lang w:val="es-ES_tradnl"/>
              </w:rPr>
              <w:t>:</w:t>
            </w:r>
          </w:p>
          <w:p w:rsidR="003C47E2" w:rsidRDefault="003C47E2" w:rsidP="00A30333">
            <w:pPr>
              <w:spacing w:after="0" w:line="240" w:lineRule="auto"/>
              <w:rPr>
                <w:color w:val="000000" w:themeColor="text1"/>
                <w:sz w:val="22"/>
                <w:lang w:val="es-ES_tradnl"/>
              </w:rPr>
            </w:pPr>
          </w:p>
          <w:p w:rsidR="00262422" w:rsidRPr="00262422" w:rsidRDefault="00262422" w:rsidP="00262422">
            <w:pPr>
              <w:spacing w:after="0" w:line="240" w:lineRule="auto"/>
              <w:rPr>
                <w:color w:val="000000" w:themeColor="text1"/>
                <w:sz w:val="22"/>
                <w:lang w:val="es-ES_tradnl"/>
              </w:rPr>
            </w:pPr>
            <w:r w:rsidRPr="00262422">
              <w:rPr>
                <w:color w:val="000000" w:themeColor="text1"/>
                <w:sz w:val="22"/>
                <w:lang w:val="es-ES_tradnl"/>
              </w:rPr>
              <w:t>https://www.oaxaca.gob.mx/dgite/evaluacion-detalle/</w:t>
            </w:r>
          </w:p>
          <w:p w:rsidR="003C47E2" w:rsidRPr="00405EC6" w:rsidRDefault="00262422" w:rsidP="003C47E2">
            <w:pPr>
              <w:spacing w:after="0" w:line="240" w:lineRule="auto"/>
              <w:rPr>
                <w:color w:val="000000" w:themeColor="text1"/>
                <w:sz w:val="22"/>
                <w:lang w:val="es-ES_tradnl"/>
              </w:rPr>
            </w:pPr>
            <w:r w:rsidRPr="00262422">
              <w:rPr>
                <w:color w:val="000000" w:themeColor="text1"/>
                <w:sz w:val="22"/>
                <w:lang w:val="es-ES_tradnl"/>
              </w:rPr>
              <w:t>Ruta: Programa Anual de Evaluación y Resultados / PAE 2022 /</w:t>
            </w:r>
          </w:p>
        </w:tc>
      </w:tr>
      <w:tr w:rsidR="00262422" w:rsidRPr="00405EC6" w:rsidTr="009B40D7">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262422" w:rsidRPr="00405EC6" w:rsidRDefault="00262422" w:rsidP="00A30333">
            <w:pPr>
              <w:spacing w:after="0" w:line="240" w:lineRule="auto"/>
              <w:jc w:val="center"/>
              <w:rPr>
                <w:color w:val="000000" w:themeColor="text1"/>
                <w:sz w:val="22"/>
                <w:lang w:val="es-ES_tradnl"/>
              </w:rPr>
            </w:pPr>
            <w:r w:rsidRPr="00405EC6">
              <w:rPr>
                <w:color w:val="000000" w:themeColor="text1"/>
                <w:sz w:val="22"/>
                <w:lang w:val="es-ES_tradnl"/>
              </w:rPr>
              <w:t> </w:t>
            </w:r>
          </w:p>
        </w:tc>
      </w:tr>
      <w:tr w:rsidR="00262422" w:rsidRPr="00405EC6" w:rsidTr="009B40D7">
        <w:trPr>
          <w:trHeight w:val="285"/>
        </w:trPr>
        <w:tc>
          <w:tcPr>
            <w:tcW w:w="5000" w:type="pct"/>
            <w:tcBorders>
              <w:top w:val="single" w:sz="4" w:space="0" w:color="auto"/>
              <w:left w:val="single" w:sz="4" w:space="0" w:color="auto"/>
              <w:bottom w:val="nil"/>
              <w:right w:val="single" w:sz="4" w:space="0" w:color="auto"/>
            </w:tcBorders>
            <w:shd w:val="clear" w:color="auto" w:fill="auto"/>
            <w:noWrap/>
            <w:vAlign w:val="bottom"/>
            <w:hideMark/>
          </w:tcPr>
          <w:p w:rsidR="00262422" w:rsidRDefault="00262422" w:rsidP="00A30333">
            <w:pPr>
              <w:spacing w:after="0" w:line="240" w:lineRule="auto"/>
              <w:rPr>
                <w:color w:val="000000" w:themeColor="text1"/>
                <w:sz w:val="22"/>
                <w:lang w:val="es-ES_tradnl"/>
              </w:rPr>
            </w:pPr>
            <w:r w:rsidRPr="0061770E">
              <w:rPr>
                <w:b/>
                <w:bCs/>
                <w:color w:val="000000" w:themeColor="text1"/>
                <w:sz w:val="22"/>
                <w:lang w:val="es-ES_tradnl"/>
              </w:rPr>
              <w:t>7.2</w:t>
            </w:r>
            <w:r>
              <w:rPr>
                <w:b/>
                <w:bCs/>
                <w:color w:val="000000" w:themeColor="text1"/>
                <w:sz w:val="22"/>
                <w:lang w:val="es-ES_tradnl"/>
              </w:rPr>
              <w:t>.</w:t>
            </w:r>
            <w:r w:rsidRPr="0061770E">
              <w:rPr>
                <w:b/>
                <w:bCs/>
                <w:color w:val="000000" w:themeColor="text1"/>
                <w:sz w:val="22"/>
                <w:lang w:val="es-ES_tradnl"/>
              </w:rPr>
              <w:t xml:space="preserve"> Difusión en internet del formato</w:t>
            </w:r>
            <w:r w:rsidRPr="00405EC6">
              <w:rPr>
                <w:color w:val="000000" w:themeColor="text1"/>
                <w:sz w:val="22"/>
                <w:lang w:val="es-ES_tradnl"/>
              </w:rPr>
              <w:t>:</w:t>
            </w:r>
          </w:p>
          <w:p w:rsidR="003C47E2" w:rsidRDefault="003C47E2" w:rsidP="00A30333">
            <w:pPr>
              <w:spacing w:after="0" w:line="240" w:lineRule="auto"/>
              <w:rPr>
                <w:color w:val="000000" w:themeColor="text1"/>
                <w:sz w:val="22"/>
                <w:lang w:val="es-ES_tradnl"/>
              </w:rPr>
            </w:pPr>
          </w:p>
          <w:p w:rsidR="00262422" w:rsidRPr="00262422" w:rsidRDefault="00262422" w:rsidP="00262422">
            <w:pPr>
              <w:spacing w:after="0" w:line="240" w:lineRule="auto"/>
              <w:rPr>
                <w:color w:val="000000" w:themeColor="text1"/>
                <w:sz w:val="22"/>
                <w:lang w:val="es-ES_tradnl"/>
              </w:rPr>
            </w:pPr>
            <w:r w:rsidRPr="00262422">
              <w:rPr>
                <w:color w:val="000000" w:themeColor="text1"/>
                <w:sz w:val="22"/>
                <w:lang w:val="es-ES_tradnl"/>
              </w:rPr>
              <w:t>https://www.oaxaca.gob.mx/dgite/evaluacion-detalle/</w:t>
            </w:r>
          </w:p>
          <w:p w:rsidR="00262422" w:rsidRPr="00405EC6" w:rsidRDefault="00262422" w:rsidP="00262422">
            <w:pPr>
              <w:spacing w:after="0" w:line="240" w:lineRule="auto"/>
              <w:rPr>
                <w:color w:val="000000" w:themeColor="text1"/>
                <w:sz w:val="22"/>
                <w:lang w:val="es-ES_tradnl"/>
              </w:rPr>
            </w:pPr>
            <w:r w:rsidRPr="00262422">
              <w:rPr>
                <w:color w:val="000000" w:themeColor="text1"/>
                <w:sz w:val="22"/>
                <w:lang w:val="es-ES_tradnl"/>
              </w:rPr>
              <w:t>Ruta: Programa Anual de Evaluación y Resultados / PAE 2022 /</w:t>
            </w:r>
          </w:p>
        </w:tc>
      </w:tr>
      <w:tr w:rsidR="00262422" w:rsidRPr="00405EC6" w:rsidTr="009B40D7">
        <w:trPr>
          <w:trHeight w:val="285"/>
        </w:trPr>
        <w:tc>
          <w:tcPr>
            <w:tcW w:w="5000" w:type="pct"/>
            <w:tcBorders>
              <w:top w:val="nil"/>
              <w:left w:val="single" w:sz="4" w:space="0" w:color="auto"/>
              <w:bottom w:val="single" w:sz="4" w:space="0" w:color="auto"/>
              <w:right w:val="single" w:sz="4" w:space="0" w:color="auto"/>
            </w:tcBorders>
            <w:shd w:val="clear" w:color="auto" w:fill="auto"/>
            <w:noWrap/>
            <w:vAlign w:val="bottom"/>
            <w:hideMark/>
          </w:tcPr>
          <w:p w:rsidR="00262422" w:rsidRPr="00405EC6" w:rsidRDefault="00262422" w:rsidP="003C47E2">
            <w:pPr>
              <w:spacing w:after="0" w:line="240" w:lineRule="auto"/>
              <w:ind w:left="0" w:firstLine="0"/>
              <w:rPr>
                <w:color w:val="000000" w:themeColor="text1"/>
                <w:sz w:val="22"/>
                <w:lang w:val="es-ES_tradnl"/>
              </w:rPr>
            </w:pPr>
          </w:p>
        </w:tc>
      </w:tr>
    </w:tbl>
    <w:p w:rsidR="000A48F7" w:rsidRDefault="00E35549" w:rsidP="00262422">
      <w:pPr>
        <w:spacing w:after="0" w:line="240" w:lineRule="auto"/>
        <w:jc w:val="center"/>
      </w:pPr>
    </w:p>
    <w:sectPr w:rsidR="000A48F7" w:rsidSect="003C47E2">
      <w:pgSz w:w="12240" w:h="15840"/>
      <w:pgMar w:top="1418"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ia Pro Book">
    <w:panose1 w:val="00000500000000000000"/>
    <w:charset w:val="00"/>
    <w:family w:val="modern"/>
    <w:notTrueType/>
    <w:pitch w:val="variable"/>
    <w:sig w:usb0="A00002EF" w:usb1="5000E47B" w:usb2="00000000" w:usb3="00000000" w:csb0="000000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66576"/>
    <w:multiLevelType w:val="hybridMultilevel"/>
    <w:tmpl w:val="491AD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16D38C2"/>
    <w:multiLevelType w:val="multilevel"/>
    <w:tmpl w:val="73CAA9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nsid w:val="3D797C0B"/>
    <w:multiLevelType w:val="hybridMultilevel"/>
    <w:tmpl w:val="1E8061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5A0B1A97"/>
    <w:multiLevelType w:val="hybridMultilevel"/>
    <w:tmpl w:val="64F43F8C"/>
    <w:lvl w:ilvl="0" w:tplc="080A000F">
      <w:start w:val="1"/>
      <w:numFmt w:val="decimal"/>
      <w:lvlText w:val="%1."/>
      <w:lvlJc w:val="left"/>
      <w:pPr>
        <w:ind w:left="370" w:hanging="360"/>
      </w:pPr>
      <w:rPr>
        <w:rFonts w:hint="default"/>
      </w:rPr>
    </w:lvl>
    <w:lvl w:ilvl="1" w:tplc="080A0019" w:tentative="1">
      <w:start w:val="1"/>
      <w:numFmt w:val="lowerLetter"/>
      <w:lvlText w:val="%2."/>
      <w:lvlJc w:val="left"/>
      <w:pPr>
        <w:ind w:left="1090" w:hanging="360"/>
      </w:pPr>
    </w:lvl>
    <w:lvl w:ilvl="2" w:tplc="080A001B" w:tentative="1">
      <w:start w:val="1"/>
      <w:numFmt w:val="lowerRoman"/>
      <w:lvlText w:val="%3."/>
      <w:lvlJc w:val="right"/>
      <w:pPr>
        <w:ind w:left="1810" w:hanging="180"/>
      </w:pPr>
    </w:lvl>
    <w:lvl w:ilvl="3" w:tplc="080A000F" w:tentative="1">
      <w:start w:val="1"/>
      <w:numFmt w:val="decimal"/>
      <w:lvlText w:val="%4."/>
      <w:lvlJc w:val="left"/>
      <w:pPr>
        <w:ind w:left="2530" w:hanging="360"/>
      </w:pPr>
    </w:lvl>
    <w:lvl w:ilvl="4" w:tplc="080A0019" w:tentative="1">
      <w:start w:val="1"/>
      <w:numFmt w:val="lowerLetter"/>
      <w:lvlText w:val="%5."/>
      <w:lvlJc w:val="left"/>
      <w:pPr>
        <w:ind w:left="3250" w:hanging="360"/>
      </w:pPr>
    </w:lvl>
    <w:lvl w:ilvl="5" w:tplc="080A001B" w:tentative="1">
      <w:start w:val="1"/>
      <w:numFmt w:val="lowerRoman"/>
      <w:lvlText w:val="%6."/>
      <w:lvlJc w:val="right"/>
      <w:pPr>
        <w:ind w:left="3970" w:hanging="180"/>
      </w:pPr>
    </w:lvl>
    <w:lvl w:ilvl="6" w:tplc="080A000F" w:tentative="1">
      <w:start w:val="1"/>
      <w:numFmt w:val="decimal"/>
      <w:lvlText w:val="%7."/>
      <w:lvlJc w:val="left"/>
      <w:pPr>
        <w:ind w:left="4690" w:hanging="360"/>
      </w:pPr>
    </w:lvl>
    <w:lvl w:ilvl="7" w:tplc="080A0019" w:tentative="1">
      <w:start w:val="1"/>
      <w:numFmt w:val="lowerLetter"/>
      <w:lvlText w:val="%8."/>
      <w:lvlJc w:val="left"/>
      <w:pPr>
        <w:ind w:left="5410" w:hanging="360"/>
      </w:pPr>
    </w:lvl>
    <w:lvl w:ilvl="8" w:tplc="080A001B" w:tentative="1">
      <w:start w:val="1"/>
      <w:numFmt w:val="lowerRoman"/>
      <w:lvlText w:val="%9."/>
      <w:lvlJc w:val="right"/>
      <w:pPr>
        <w:ind w:left="6130" w:hanging="180"/>
      </w:pPr>
    </w:lvl>
  </w:abstractNum>
  <w:abstractNum w:abstractNumId="4">
    <w:nsid w:val="5A3572CB"/>
    <w:multiLevelType w:val="hybridMultilevel"/>
    <w:tmpl w:val="C6F40014"/>
    <w:lvl w:ilvl="0" w:tplc="080A000F">
      <w:start w:val="1"/>
      <w:numFmt w:val="decimal"/>
      <w:lvlText w:val="%1."/>
      <w:lvlJc w:val="left"/>
      <w:pPr>
        <w:ind w:left="360" w:hanging="360"/>
      </w:pPr>
      <w:rPr>
        <w:rFonts w:hint="default"/>
      </w:rPr>
    </w:lvl>
    <w:lvl w:ilvl="1" w:tplc="53A076A0">
      <w:start w:val="171"/>
      <w:numFmt w:val="bullet"/>
      <w:lvlText w:val="•"/>
      <w:lvlJc w:val="left"/>
      <w:pPr>
        <w:ind w:left="1080" w:hanging="360"/>
      </w:pPr>
      <w:rPr>
        <w:rFonts w:ascii="Arial" w:eastAsia="Times New Roman" w:hAnsi="Arial" w:cs="Arial" w:hint="default"/>
      </w:r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nsid w:val="618E4DCF"/>
    <w:multiLevelType w:val="hybridMultilevel"/>
    <w:tmpl w:val="992233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5952F41"/>
    <w:multiLevelType w:val="hybridMultilevel"/>
    <w:tmpl w:val="FB987C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3"/>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422"/>
    <w:rsid w:val="000A1B34"/>
    <w:rsid w:val="002119C6"/>
    <w:rsid w:val="0025197F"/>
    <w:rsid w:val="00262422"/>
    <w:rsid w:val="002856FD"/>
    <w:rsid w:val="00327392"/>
    <w:rsid w:val="003C47E2"/>
    <w:rsid w:val="003D6687"/>
    <w:rsid w:val="004A59C3"/>
    <w:rsid w:val="00502A3C"/>
    <w:rsid w:val="00756E8C"/>
    <w:rsid w:val="009B40D7"/>
    <w:rsid w:val="009D5447"/>
    <w:rsid w:val="00AF23BC"/>
    <w:rsid w:val="00C21BC5"/>
    <w:rsid w:val="00CF6E7F"/>
    <w:rsid w:val="00E17071"/>
    <w:rsid w:val="00E35549"/>
    <w:rsid w:val="00FC7E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9C79A3C-7B4F-4C9D-9C6B-7A3A6F0762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422"/>
    <w:pPr>
      <w:spacing w:after="4" w:line="248" w:lineRule="auto"/>
      <w:ind w:left="10" w:hanging="10"/>
      <w:jc w:val="both"/>
    </w:pPr>
    <w:rPr>
      <w:rFonts w:ascii="Arial" w:eastAsia="Arial" w:hAnsi="Arial" w:cs="Arial"/>
      <w:color w:val="000000"/>
      <w:sz w:val="20"/>
      <w:lang w:eastAsia="es-MX"/>
    </w:rPr>
  </w:style>
  <w:style w:type="paragraph" w:styleId="Ttulo2">
    <w:name w:val="heading 2"/>
    <w:basedOn w:val="Normal"/>
    <w:next w:val="Normal"/>
    <w:link w:val="Ttulo2Car"/>
    <w:autoRedefine/>
    <w:uiPriority w:val="9"/>
    <w:unhideWhenUsed/>
    <w:qFormat/>
    <w:rsid w:val="00C21BC5"/>
    <w:pPr>
      <w:keepNext/>
      <w:keepLines/>
      <w:spacing w:before="40" w:after="0" w:line="360" w:lineRule="auto"/>
      <w:contextualSpacing/>
      <w:outlineLvl w:val="1"/>
    </w:pPr>
    <w:rPr>
      <w:rFonts w:ascii="Univia Pro Book" w:eastAsia="Univia Pro Book" w:hAnsi="Univia Pro Book" w:cstheme="majorBidi"/>
      <w:b/>
      <w:color w:val="262626" w:themeColor="text1" w:themeTint="D9"/>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21BC5"/>
    <w:rPr>
      <w:rFonts w:ascii="Univia Pro Book" w:eastAsia="Univia Pro Book" w:hAnsi="Univia Pro Book" w:cstheme="majorBidi"/>
      <w:b/>
      <w:color w:val="262626" w:themeColor="text1" w:themeTint="D9"/>
      <w:sz w:val="24"/>
    </w:rPr>
  </w:style>
  <w:style w:type="paragraph" w:styleId="Prrafodelista">
    <w:name w:val="List Paragraph"/>
    <w:basedOn w:val="Normal"/>
    <w:uiPriority w:val="34"/>
    <w:qFormat/>
    <w:rsid w:val="00262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zapienoaxaca@gmail.com"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6</Pages>
  <Words>2487</Words>
  <Characters>13682</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dc:creator>
  <cp:keywords/>
  <dc:description/>
  <cp:lastModifiedBy>lili</cp:lastModifiedBy>
  <cp:revision>6</cp:revision>
  <dcterms:created xsi:type="dcterms:W3CDTF">2022-11-30T20:02:00Z</dcterms:created>
  <dcterms:modified xsi:type="dcterms:W3CDTF">2022-11-30T20:48:00Z</dcterms:modified>
</cp:coreProperties>
</file>